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60"/>
      </w:pPr>
      <w:r>
        <w:rPr>
          <w:rFonts w:ascii="Calibri" w:hAnsi="Calibri" w:eastAsia="Microsoft YaHei"/>
          <w:b/>
          <w:color w:val="A36B00"/>
          <w:sz w:val="19"/>
        </w:rPr>
        <w:t>TRANSLATION DELIVERY &amp; QA FILE</w:t>
      </w:r>
    </w:p>
    <w:p>
      <w:pPr>
        <w:spacing w:after="100"/>
      </w:pPr>
      <w:r>
        <w:rPr>
          <w:rFonts w:ascii="Calibri" w:hAnsi="Calibri" w:eastAsia="Microsoft YaHei"/>
          <w:b/>
          <w:color w:val="17324D"/>
          <w:sz w:val="54"/>
        </w:rPr>
        <w:t>雅万高铁：经济纽带与产业带动</w:t>
      </w:r>
    </w:p>
    <w:p>
      <w:pPr>
        <w:spacing w:after="360"/>
      </w:pPr>
      <w:r>
        <w:rPr>
          <w:rFonts w:ascii="Calibri" w:hAnsi="Calibri" w:eastAsia="Microsoft YaHei"/>
          <w:i/>
          <w:color w:val="1F4D78"/>
          <w:sz w:val="28"/>
        </w:rPr>
        <w:t>Jakarta–Bandung HSR: An Economic Link and Industrial Catalyst</w:t>
      </w:r>
    </w:p>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2160"/>
        <w:gridCol w:w="7200"/>
      </w:tblGrid>
      <w:tr>
        <w:tc>
          <w:tcPr>
            <w:tcW w:type="dxa" w:w="2160"/>
            <w:tcMar>
              <w:top w:w="100" w:type="dxa"/>
              <w:start w:w="120" w:type="dxa"/>
              <w:bottom w:w="100" w:type="dxa"/>
              <w:end w:w="120" w:type="dxa"/>
            </w:tcMar>
            <w:vAlign w:val="center"/>
            <w:shd w:fill="17324D"/>
          </w:tcPr>
          <w:p>
            <w:pPr>
              <w:spacing w:after="0"/>
            </w:pPr>
            <w:r>
              <w:rPr>
                <w:rFonts w:ascii="Calibri" w:hAnsi="Calibri" w:eastAsia="Microsoft YaHei"/>
                <w:b/>
                <w:color w:val="FFFFFF"/>
                <w:sz w:val="19"/>
              </w:rPr>
              <w:t>交付类型</w:t>
            </w:r>
          </w:p>
        </w:tc>
        <w:tc>
          <w:tcPr>
            <w:tcW w:type="dxa" w:w="7200"/>
            <w:tcMar>
              <w:top w:w="100" w:type="dxa"/>
              <w:start w:w="120" w:type="dxa"/>
              <w:bottom w:w="100" w:type="dxa"/>
              <w:end w:w="120" w:type="dxa"/>
            </w:tcMar>
            <w:vAlign w:val="center"/>
            <w:shd w:fill="FAF7F1"/>
          </w:tcPr>
          <w:p>
            <w:pPr>
              <w:spacing w:after="0"/>
            </w:pPr>
            <w:r>
              <w:rPr>
                <w:rFonts w:ascii="Calibri" w:hAnsi="Calibri" w:eastAsia="Microsoft YaHei"/>
                <w:color w:val="25211D"/>
                <w:sz w:val="21"/>
              </w:rPr>
              <w:t>中英编译 · 术语统一 · 表达优化 · 事实核验提示</w:t>
            </w:r>
          </w:p>
        </w:tc>
      </w:tr>
      <w:tr>
        <w:tc>
          <w:tcPr>
            <w:tcW w:type="dxa" w:w="2160"/>
            <w:tcMar>
              <w:top w:w="100" w:type="dxa"/>
              <w:start w:w="120" w:type="dxa"/>
              <w:bottom w:w="100" w:type="dxa"/>
              <w:end w:w="120" w:type="dxa"/>
            </w:tcMar>
            <w:vAlign w:val="center"/>
            <w:shd w:fill="17324D"/>
          </w:tcPr>
          <w:p>
            <w:pPr>
              <w:spacing w:after="0"/>
            </w:pPr>
            <w:r>
              <w:rPr>
                <w:rFonts w:ascii="Calibri" w:hAnsi="Calibri" w:eastAsia="Microsoft YaHei"/>
                <w:b/>
                <w:color w:val="FFFFFF"/>
                <w:sz w:val="19"/>
              </w:rPr>
              <w:t>主题领域</w:t>
            </w:r>
          </w:p>
        </w:tc>
        <w:tc>
          <w:tcPr>
            <w:tcW w:type="dxa" w:w="7200"/>
            <w:tcMar>
              <w:top w:w="100" w:type="dxa"/>
              <w:start w:w="120" w:type="dxa"/>
              <w:bottom w:w="100" w:type="dxa"/>
              <w:end w:w="120" w:type="dxa"/>
            </w:tcMar>
            <w:vAlign w:val="center"/>
            <w:shd w:fill="F2F4F7"/>
          </w:tcPr>
          <w:p>
            <w:pPr>
              <w:spacing w:after="0"/>
            </w:pPr>
            <w:r>
              <w:rPr>
                <w:rFonts w:ascii="Calibri" w:hAnsi="Calibri" w:eastAsia="Microsoft YaHei"/>
                <w:color w:val="25211D"/>
                <w:sz w:val="21"/>
              </w:rPr>
              <w:t>基础设施 · 区域发展 · 产业链</w:t>
            </w:r>
          </w:p>
        </w:tc>
      </w:tr>
      <w:tr>
        <w:tc>
          <w:tcPr>
            <w:tcW w:type="dxa" w:w="2160"/>
            <w:tcMar>
              <w:top w:w="100" w:type="dxa"/>
              <w:start w:w="120" w:type="dxa"/>
              <w:bottom w:w="100" w:type="dxa"/>
              <w:end w:w="120" w:type="dxa"/>
            </w:tcMar>
            <w:vAlign w:val="center"/>
            <w:shd w:fill="17324D"/>
          </w:tcPr>
          <w:p>
            <w:pPr>
              <w:spacing w:after="0"/>
            </w:pPr>
            <w:r>
              <w:rPr>
                <w:rFonts w:ascii="Calibri" w:hAnsi="Calibri" w:eastAsia="Microsoft YaHei"/>
                <w:b/>
                <w:color w:val="FFFFFF"/>
                <w:sz w:val="19"/>
              </w:rPr>
              <w:t>语言方向</w:t>
            </w:r>
          </w:p>
        </w:tc>
        <w:tc>
          <w:tcPr>
            <w:tcW w:type="dxa" w:w="7200"/>
            <w:tcMar>
              <w:top w:w="100" w:type="dxa"/>
              <w:start w:w="120" w:type="dxa"/>
              <w:bottom w:w="100" w:type="dxa"/>
              <w:end w:w="120" w:type="dxa"/>
            </w:tcMar>
            <w:vAlign w:val="center"/>
            <w:shd w:fill="FAF7F1"/>
          </w:tcPr>
          <w:p>
            <w:pPr>
              <w:spacing w:after="0"/>
            </w:pPr>
            <w:r>
              <w:rPr>
                <w:rFonts w:ascii="Calibri" w:hAnsi="Calibri" w:eastAsia="Microsoft YaHei"/>
                <w:color w:val="25211D"/>
                <w:sz w:val="21"/>
              </w:rPr>
              <w:t>CN → EN</w:t>
            </w:r>
          </w:p>
        </w:tc>
      </w:tr>
      <w:tr>
        <w:tc>
          <w:tcPr>
            <w:tcW w:type="dxa" w:w="2160"/>
            <w:tcMar>
              <w:top w:w="100" w:type="dxa"/>
              <w:start w:w="120" w:type="dxa"/>
              <w:bottom w:w="100" w:type="dxa"/>
              <w:end w:w="120" w:type="dxa"/>
            </w:tcMar>
            <w:vAlign w:val="center"/>
            <w:shd w:fill="17324D"/>
          </w:tcPr>
          <w:p>
            <w:pPr>
              <w:spacing w:after="0"/>
            </w:pPr>
            <w:r>
              <w:rPr>
                <w:rFonts w:ascii="Calibri" w:hAnsi="Calibri" w:eastAsia="Microsoft YaHei"/>
                <w:b/>
                <w:color w:val="FFFFFF"/>
                <w:sz w:val="19"/>
              </w:rPr>
              <w:t>编辑状态</w:t>
            </w:r>
          </w:p>
        </w:tc>
        <w:tc>
          <w:tcPr>
            <w:tcW w:type="dxa" w:w="7200"/>
            <w:tcMar>
              <w:top w:w="100" w:type="dxa"/>
              <w:start w:w="120" w:type="dxa"/>
              <w:bottom w:w="100" w:type="dxa"/>
              <w:end w:w="120" w:type="dxa"/>
            </w:tcMar>
            <w:vAlign w:val="center"/>
            <w:shd w:fill="F2F4F7"/>
          </w:tcPr>
          <w:p>
            <w:pPr>
              <w:spacing w:after="0"/>
            </w:pPr>
            <w:r>
              <w:rPr>
                <w:rFonts w:ascii="Calibri" w:hAnsi="Calibri" w:eastAsia="Microsoft YaHei"/>
                <w:color w:val="25211D"/>
                <w:sz w:val="21"/>
              </w:rPr>
              <w:t>Portfolio Review Copy / 已完成结构化审校</w:t>
            </w:r>
          </w:p>
        </w:tc>
      </w:tr>
      <w:tr>
        <w:tc>
          <w:tcPr>
            <w:tcW w:type="dxa" w:w="2160"/>
            <w:tcMar>
              <w:top w:w="100" w:type="dxa"/>
              <w:start w:w="120" w:type="dxa"/>
              <w:bottom w:w="100" w:type="dxa"/>
              <w:end w:w="120" w:type="dxa"/>
            </w:tcMar>
            <w:vAlign w:val="center"/>
            <w:shd w:fill="17324D"/>
          </w:tcPr>
          <w:p>
            <w:pPr>
              <w:spacing w:after="0"/>
            </w:pPr>
            <w:r>
              <w:rPr>
                <w:rFonts w:ascii="Calibri" w:hAnsi="Calibri" w:eastAsia="Microsoft YaHei"/>
                <w:b/>
                <w:color w:val="FFFFFF"/>
                <w:sz w:val="19"/>
              </w:rPr>
              <w:t>译者 / 编辑</w:t>
            </w:r>
          </w:p>
        </w:tc>
        <w:tc>
          <w:tcPr>
            <w:tcW w:type="dxa" w:w="7200"/>
            <w:tcMar>
              <w:top w:w="100" w:type="dxa"/>
              <w:start w:w="120" w:type="dxa"/>
              <w:bottom w:w="100" w:type="dxa"/>
              <w:end w:w="120" w:type="dxa"/>
            </w:tcMar>
            <w:vAlign w:val="center"/>
            <w:shd w:fill="FAF7F1"/>
          </w:tcPr>
          <w:p>
            <w:pPr>
              <w:spacing w:after="0"/>
            </w:pPr>
            <w:r>
              <w:rPr>
                <w:rFonts w:ascii="Calibri" w:hAnsi="Calibri" w:eastAsia="Microsoft YaHei"/>
                <w:color w:val="25211D"/>
                <w:sz w:val="21"/>
              </w:rPr>
              <w:t>李睿泽 Griffin · 中国外文局亚太传播中心实习期间</w:t>
            </w:r>
          </w:p>
        </w:tc>
      </w:tr>
    </w:tbl>
    <w:p/>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9360"/>
      </w:tblGrid>
      <w:tr>
        <w:tc>
          <w:tcPr>
            <w:tcW w:type="dxa" w:w="9360"/>
            <w:tcMar>
              <w:top w:w="100" w:type="dxa"/>
              <w:start w:w="120" w:type="dxa"/>
              <w:bottom w:w="100" w:type="dxa"/>
              <w:end w:w="120" w:type="dxa"/>
            </w:tcMar>
            <w:vAlign w:val="center"/>
            <w:shd w:fill="EAF2F8"/>
          </w:tcPr>
          <w:p>
            <w:pPr>
              <w:spacing w:after="60"/>
            </w:pPr>
            <w:r>
              <w:rPr>
                <w:rFonts w:ascii="Calibri" w:hAnsi="Calibri" w:eastAsia="Microsoft YaHei"/>
                <w:b/>
                <w:color w:val="2E74B5"/>
                <w:sz w:val="20"/>
              </w:rPr>
              <w:t xml:space="preserve">编辑说明  </w:t>
            </w:r>
            <w:r>
              <w:rPr>
                <w:rFonts w:ascii="Calibri" w:hAnsi="Calibri" w:eastAsia="Microsoft YaHei"/>
                <w:color w:val="25211D"/>
                <w:sz w:val="21"/>
              </w:rPr>
              <w:t>原文件名沿用“卡车经济纽带”，但正文实际围绕雅万高铁的基础设施、交通与产业链影响。本稿保留原文件名以便追溯，在标题与批注中明确主题，并补齐英文译文、术语表、数字核验和产业链表达。</w:t>
            </w:r>
          </w:p>
        </w:tc>
      </w:tr>
    </w:tbl>
    <w:p>
      <w:pPr>
        <w:pStyle w:val="Heading2"/>
      </w:pPr>
      <w:r>
        <w:t>批注颜色说明</w:t>
      </w:r>
    </w:p>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2340"/>
        <w:gridCol w:w="2340"/>
        <w:gridCol w:w="2340"/>
        <w:gridCol w:w="2340"/>
      </w:tblGrid>
      <w:tr>
        <w:tc>
          <w:tcPr>
            <w:tcW w:type="dxa" w:w="2340"/>
            <w:tcMar>
              <w:top w:w="100" w:type="dxa"/>
              <w:start w:w="120" w:type="dxa"/>
              <w:bottom w:w="100" w:type="dxa"/>
              <w:end w:w="120" w:type="dxa"/>
            </w:tcMar>
            <w:vAlign w:val="center"/>
            <w:shd w:fill="EAF2F8"/>
          </w:tcPr>
          <w:p>
            <w:pPr>
              <w:spacing w:after="40"/>
              <w:jc w:val="center"/>
            </w:pPr>
            <w:r>
              <w:rPr>
                <w:rFonts w:ascii="Calibri" w:hAnsi="Calibri" w:eastAsia="Microsoft YaHei"/>
                <w:b/>
                <w:color w:val="2E74B5"/>
                <w:sz w:val="20"/>
              </w:rPr>
              <w:t>术语</w:t>
            </w:r>
          </w:p>
          <w:p>
            <w:pPr>
              <w:spacing w:after="0"/>
              <w:jc w:val="center"/>
            </w:pPr>
            <w:r>
              <w:rPr>
                <w:rFonts w:ascii="Calibri" w:hAnsi="Calibri" w:eastAsia="Microsoft YaHei"/>
                <w:color w:val="6F6A62"/>
                <w:sz w:val="17"/>
              </w:rPr>
              <w:t>专名与统一口径</w:t>
            </w:r>
          </w:p>
        </w:tc>
        <w:tc>
          <w:tcPr>
            <w:tcW w:type="dxa" w:w="2340"/>
            <w:tcMar>
              <w:top w:w="100" w:type="dxa"/>
              <w:start w:w="120" w:type="dxa"/>
              <w:bottom w:w="100" w:type="dxa"/>
              <w:end w:w="120" w:type="dxa"/>
            </w:tcMar>
            <w:vAlign w:val="center"/>
            <w:shd w:fill="FFF3D6"/>
          </w:tcPr>
          <w:p>
            <w:pPr>
              <w:spacing w:after="40"/>
              <w:jc w:val="center"/>
            </w:pPr>
            <w:r>
              <w:rPr>
                <w:rFonts w:ascii="Calibri" w:hAnsi="Calibri" w:eastAsia="Microsoft YaHei"/>
                <w:b/>
                <w:color w:val="A36B00"/>
                <w:sz w:val="20"/>
              </w:rPr>
              <w:t>事实</w:t>
            </w:r>
          </w:p>
          <w:p>
            <w:pPr>
              <w:spacing w:after="0"/>
              <w:jc w:val="center"/>
            </w:pPr>
            <w:r>
              <w:rPr>
                <w:rFonts w:ascii="Calibri" w:hAnsi="Calibri" w:eastAsia="Microsoft YaHei"/>
                <w:color w:val="6F6A62"/>
                <w:sz w:val="17"/>
              </w:rPr>
              <w:t>日期、数字与来源</w:t>
            </w:r>
          </w:p>
        </w:tc>
        <w:tc>
          <w:tcPr>
            <w:tcW w:type="dxa" w:w="2340"/>
            <w:tcMar>
              <w:top w:w="100" w:type="dxa"/>
              <w:start w:w="120" w:type="dxa"/>
              <w:bottom w:w="100" w:type="dxa"/>
              <w:end w:w="120" w:type="dxa"/>
            </w:tcMar>
            <w:vAlign w:val="center"/>
            <w:shd w:fill="EAF4EE"/>
          </w:tcPr>
          <w:p>
            <w:pPr>
              <w:spacing w:after="40"/>
              <w:jc w:val="center"/>
            </w:pPr>
            <w:r>
              <w:rPr>
                <w:rFonts w:ascii="Calibri" w:hAnsi="Calibri" w:eastAsia="Microsoft YaHei"/>
                <w:b/>
                <w:color w:val="3D6B55"/>
                <w:sz w:val="20"/>
              </w:rPr>
              <w:t>表达</w:t>
            </w:r>
          </w:p>
          <w:p>
            <w:pPr>
              <w:spacing w:after="0"/>
              <w:jc w:val="center"/>
            </w:pPr>
            <w:r>
              <w:rPr>
                <w:rFonts w:ascii="Calibri" w:hAnsi="Calibri" w:eastAsia="Microsoft YaHei"/>
                <w:color w:val="6F6A62"/>
                <w:sz w:val="17"/>
              </w:rPr>
              <w:t>语序、语气与受众</w:t>
            </w:r>
          </w:p>
        </w:tc>
        <w:tc>
          <w:tcPr>
            <w:tcW w:type="dxa" w:w="2340"/>
            <w:tcMar>
              <w:top w:w="100" w:type="dxa"/>
              <w:start w:w="120" w:type="dxa"/>
              <w:bottom w:w="100" w:type="dxa"/>
              <w:end w:w="120" w:type="dxa"/>
            </w:tcMar>
            <w:vAlign w:val="center"/>
            <w:shd w:fill="FCEBEC"/>
          </w:tcPr>
          <w:p>
            <w:pPr>
              <w:spacing w:after="40"/>
              <w:jc w:val="center"/>
            </w:pPr>
            <w:r>
              <w:rPr>
                <w:rFonts w:ascii="Calibri" w:hAnsi="Calibri" w:eastAsia="Microsoft YaHei"/>
                <w:b/>
                <w:color w:val="9B1C1C"/>
                <w:sz w:val="20"/>
              </w:rPr>
              <w:t>风险</w:t>
            </w:r>
          </w:p>
          <w:p>
            <w:pPr>
              <w:spacing w:after="0"/>
              <w:jc w:val="center"/>
            </w:pPr>
            <w:r>
              <w:rPr>
                <w:rFonts w:ascii="Calibri" w:hAnsi="Calibri" w:eastAsia="Microsoft YaHei"/>
                <w:color w:val="6F6A62"/>
                <w:sz w:val="17"/>
              </w:rPr>
              <w:t>需复核或已修正</w:t>
            </w:r>
          </w:p>
        </w:tc>
      </w:tr>
    </w:tbl>
    <w:p>
      <w:r>
        <w:br w:type="page"/>
      </w:r>
    </w:p>
    <w:p>
      <w:pPr>
        <w:pStyle w:val="Heading1"/>
      </w:pPr>
      <w:r>
        <w:t>01 术语与口径</w:t>
      </w:r>
    </w:p>
    <w:p>
      <w:pPr>
        <w:spacing w:after="160"/>
      </w:pPr>
      <w:r>
        <w:t>先统一专名、机构称谓和高频表达，再进入逐段翻译。以下词表用于保证同一文件内口径一致。</w:t>
      </w:r>
    </w:p>
    <w:tbl>
      <w:tblPr>
        <w:tblW w:type="dxa" w:w="9360"/>
        <w:tblLayout w:type="fixed"/>
        <w:tblLook w:firstColumn="1" w:firstRow="1" w:lastColumn="0" w:lastRow="0" w:noHBand="0" w:noVBand="1" w:val="04A0"/>
        <w:jc w:val="left"/>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2520"/>
        <w:gridCol w:w="3420"/>
        <w:gridCol w:w="3420"/>
      </w:tblGrid>
      <w:tr>
        <w:tc>
          <w:tcPr>
            <w:tcW w:type="dxa" w:w="2520"/>
            <w:tcMar>
              <w:top w:w="100" w:type="dxa"/>
              <w:start w:w="120" w:type="dxa"/>
              <w:bottom w:w="100" w:type="dxa"/>
              <w:end w:w="120" w:type="dxa"/>
            </w:tcMar>
            <w:vAlign w:val="center"/>
            <w:shd w:fill="17324D"/>
          </w:tcPr>
          <w:p>
            <w:pPr>
              <w:spacing w:after="0"/>
            </w:pPr>
            <w:r>
              <w:rPr>
                <w:rFonts w:ascii="Calibri" w:hAnsi="Calibri" w:eastAsia="Microsoft YaHei"/>
                <w:b/>
                <w:color w:val="FFFFFF"/>
                <w:sz w:val="19"/>
              </w:rPr>
              <w:t>中文 / 概念</w:t>
            </w:r>
          </w:p>
        </w:tc>
        <w:tc>
          <w:tcPr>
            <w:tcW w:type="dxa" w:w="3420"/>
            <w:tcMar>
              <w:top w:w="100" w:type="dxa"/>
              <w:start w:w="120" w:type="dxa"/>
              <w:bottom w:w="100" w:type="dxa"/>
              <w:end w:w="120" w:type="dxa"/>
            </w:tcMar>
            <w:vAlign w:val="center"/>
            <w:shd w:fill="17324D"/>
          </w:tcPr>
          <w:p>
            <w:pPr>
              <w:spacing w:after="0"/>
            </w:pPr>
            <w:r>
              <w:rPr>
                <w:rFonts w:ascii="Calibri" w:hAnsi="Calibri" w:eastAsia="Microsoft YaHei"/>
                <w:b/>
                <w:color w:val="FFFFFF"/>
                <w:sz w:val="19"/>
              </w:rPr>
              <w:t>Preferred English</w:t>
            </w:r>
          </w:p>
        </w:tc>
        <w:tc>
          <w:tcPr>
            <w:tcW w:type="dxa" w:w="3420"/>
            <w:tcMar>
              <w:top w:w="100" w:type="dxa"/>
              <w:start w:w="120" w:type="dxa"/>
              <w:bottom w:w="100" w:type="dxa"/>
              <w:end w:w="120" w:type="dxa"/>
            </w:tcMar>
            <w:vAlign w:val="center"/>
            <w:shd w:fill="17324D"/>
          </w:tcPr>
          <w:p>
            <w:pPr>
              <w:spacing w:after="0"/>
            </w:pPr>
            <w:r>
              <w:rPr>
                <w:rFonts w:ascii="Calibri" w:hAnsi="Calibri" w:eastAsia="Microsoft YaHei"/>
                <w:b/>
                <w:color w:val="FFFFFF"/>
                <w:sz w:val="19"/>
              </w:rPr>
              <w:t>编辑备注</w:t>
            </w:r>
          </w:p>
        </w:tc>
      </w:tr>
      <w:tr>
        <w:tc>
          <w:tcPr>
            <w:tcW w:type="dxa" w:w="2520"/>
            <w:shd w:fill="FAF7F1"/>
            <w:tcMar>
              <w:top w:w="100" w:type="dxa"/>
              <w:start w:w="120" w:type="dxa"/>
              <w:bottom w:w="100" w:type="dxa"/>
              <w:end w:w="120" w:type="dxa"/>
            </w:tcMar>
            <w:vAlign w:val="center"/>
          </w:tcPr>
          <w:p>
            <w:pPr>
              <w:spacing w:after="0"/>
            </w:pPr>
            <w:r>
              <w:rPr>
                <w:rFonts w:ascii="Calibri" w:hAnsi="Calibri" w:eastAsia="Microsoft YaHei"/>
                <w:color w:val="25211D"/>
                <w:sz w:val="19"/>
              </w:rPr>
              <w:t>雅加达—万隆高铁</w:t>
            </w:r>
          </w:p>
        </w:tc>
        <w:tc>
          <w:tcPr>
            <w:tcW w:type="dxa" w:w="3420"/>
            <w:shd w:fill="FAF7F1"/>
            <w:tcMar>
              <w:top w:w="100" w:type="dxa"/>
              <w:start w:w="120" w:type="dxa"/>
              <w:bottom w:w="100" w:type="dxa"/>
              <w:end w:w="120" w:type="dxa"/>
            </w:tcMar>
            <w:vAlign w:val="center"/>
          </w:tcPr>
          <w:p>
            <w:pPr>
              <w:spacing w:after="0"/>
            </w:pPr>
            <w:r>
              <w:rPr>
                <w:rFonts w:ascii="Calibri" w:hAnsi="Calibri" w:eastAsia="Microsoft YaHei"/>
                <w:color w:val="25211D"/>
                <w:sz w:val="19"/>
              </w:rPr>
              <w:t>Jakarta–Bandung High-Speed Railway</w:t>
            </w:r>
          </w:p>
        </w:tc>
        <w:tc>
          <w:tcPr>
            <w:tcW w:type="dxa" w:w="3420"/>
            <w:shd w:fill="FAF7F1"/>
            <w:tcMar>
              <w:top w:w="100" w:type="dxa"/>
              <w:start w:w="120" w:type="dxa"/>
              <w:bottom w:w="100" w:type="dxa"/>
              <w:end w:w="120" w:type="dxa"/>
            </w:tcMar>
            <w:vAlign w:val="center"/>
          </w:tcPr>
          <w:p>
            <w:pPr>
              <w:spacing w:after="0"/>
            </w:pPr>
            <w:r>
              <w:rPr>
                <w:rFonts w:ascii="Calibri" w:hAnsi="Calibri" w:eastAsia="Microsoft YaHei"/>
                <w:color w:val="25211D"/>
                <w:sz w:val="19"/>
              </w:rPr>
              <w:t>简称 Jakarta–Bandung HSR。</w:t>
            </w:r>
          </w:p>
        </w:tc>
      </w:tr>
      <w:tr>
        <w:tc>
          <w:tcPr>
            <w:tcW w:type="dxa" w:w="2520"/>
            <w:shd w:fill="FFFFFF"/>
            <w:tcMar>
              <w:top w:w="100" w:type="dxa"/>
              <w:start w:w="120" w:type="dxa"/>
              <w:bottom w:w="100" w:type="dxa"/>
              <w:end w:w="120" w:type="dxa"/>
            </w:tcMar>
            <w:vAlign w:val="center"/>
          </w:tcPr>
          <w:p>
            <w:pPr>
              <w:spacing w:after="0"/>
            </w:pPr>
            <w:r>
              <w:rPr>
                <w:rFonts w:ascii="Calibri" w:hAnsi="Calibri" w:eastAsia="Microsoft YaHei"/>
                <w:color w:val="25211D"/>
                <w:sz w:val="19"/>
              </w:rPr>
              <w:t>经济增长带</w:t>
            </w:r>
          </w:p>
        </w:tc>
        <w:tc>
          <w:tcPr>
            <w:tcW w:type="dxa" w:w="3420"/>
            <w:shd w:fill="FFFFFF"/>
            <w:tcMar>
              <w:top w:w="100" w:type="dxa"/>
              <w:start w:w="120" w:type="dxa"/>
              <w:bottom w:w="100" w:type="dxa"/>
              <w:end w:w="120" w:type="dxa"/>
            </w:tcMar>
            <w:vAlign w:val="center"/>
          </w:tcPr>
          <w:p>
            <w:pPr>
              <w:spacing w:after="0"/>
            </w:pPr>
            <w:r>
              <w:rPr>
                <w:rFonts w:ascii="Calibri" w:hAnsi="Calibri" w:eastAsia="Microsoft YaHei"/>
                <w:color w:val="25211D"/>
                <w:sz w:val="19"/>
              </w:rPr>
              <w:t>economic growth corridor</w:t>
            </w:r>
          </w:p>
        </w:tc>
        <w:tc>
          <w:tcPr>
            <w:tcW w:type="dxa" w:w="3420"/>
            <w:shd w:fill="FFFFFF"/>
            <w:tcMar>
              <w:top w:w="100" w:type="dxa"/>
              <w:start w:w="120" w:type="dxa"/>
              <w:bottom w:w="100" w:type="dxa"/>
              <w:end w:w="120" w:type="dxa"/>
            </w:tcMar>
            <w:vAlign w:val="center"/>
          </w:tcPr>
          <w:p>
            <w:pPr>
              <w:spacing w:after="0"/>
            </w:pPr>
            <w:r>
              <w:rPr>
                <w:rFonts w:ascii="Calibri" w:hAnsi="Calibri" w:eastAsia="Microsoft YaHei"/>
                <w:color w:val="25211D"/>
                <w:sz w:val="19"/>
              </w:rPr>
              <w:t>比 growth belt 更自然。</w:t>
            </w:r>
          </w:p>
        </w:tc>
      </w:tr>
      <w:tr>
        <w:tc>
          <w:tcPr>
            <w:tcW w:type="dxa" w:w="2520"/>
            <w:shd w:fill="FAF7F1"/>
            <w:tcMar>
              <w:top w:w="100" w:type="dxa"/>
              <w:start w:w="120" w:type="dxa"/>
              <w:bottom w:w="100" w:type="dxa"/>
              <w:end w:w="120" w:type="dxa"/>
            </w:tcMar>
            <w:vAlign w:val="center"/>
          </w:tcPr>
          <w:p>
            <w:pPr>
              <w:spacing w:after="0"/>
            </w:pPr>
            <w:r>
              <w:rPr>
                <w:rFonts w:ascii="Calibri" w:hAnsi="Calibri" w:eastAsia="Microsoft YaHei"/>
                <w:color w:val="25211D"/>
                <w:sz w:val="19"/>
              </w:rPr>
              <w:t>电气化率</w:t>
            </w:r>
          </w:p>
        </w:tc>
        <w:tc>
          <w:tcPr>
            <w:tcW w:type="dxa" w:w="3420"/>
            <w:shd w:fill="FAF7F1"/>
            <w:tcMar>
              <w:top w:w="100" w:type="dxa"/>
              <w:start w:w="120" w:type="dxa"/>
              <w:bottom w:w="100" w:type="dxa"/>
              <w:end w:w="120" w:type="dxa"/>
            </w:tcMar>
            <w:vAlign w:val="center"/>
          </w:tcPr>
          <w:p>
            <w:pPr>
              <w:spacing w:after="0"/>
            </w:pPr>
            <w:r>
              <w:rPr>
                <w:rFonts w:ascii="Calibri" w:hAnsi="Calibri" w:eastAsia="Microsoft YaHei"/>
                <w:color w:val="25211D"/>
                <w:sz w:val="19"/>
              </w:rPr>
              <w:t>electrification rate</w:t>
            </w:r>
          </w:p>
        </w:tc>
        <w:tc>
          <w:tcPr>
            <w:tcW w:type="dxa" w:w="3420"/>
            <w:shd w:fill="FAF7F1"/>
            <w:tcMar>
              <w:top w:w="100" w:type="dxa"/>
              <w:start w:w="120" w:type="dxa"/>
              <w:bottom w:w="100" w:type="dxa"/>
              <w:end w:w="120" w:type="dxa"/>
            </w:tcMar>
            <w:vAlign w:val="center"/>
          </w:tcPr>
          <w:p>
            <w:pPr>
              <w:spacing w:after="0"/>
            </w:pPr>
            <w:r>
              <w:rPr>
                <w:rFonts w:ascii="Calibri" w:hAnsi="Calibri" w:eastAsia="Microsoft YaHei"/>
                <w:color w:val="25211D"/>
                <w:sz w:val="19"/>
              </w:rPr>
              <w:t>铁路统计术语。</w:t>
            </w:r>
          </w:p>
        </w:tc>
      </w:tr>
      <w:tr>
        <w:tc>
          <w:tcPr>
            <w:tcW w:type="dxa" w:w="2520"/>
            <w:shd w:fill="FFFFFF"/>
            <w:tcMar>
              <w:top w:w="100" w:type="dxa"/>
              <w:start w:w="120" w:type="dxa"/>
              <w:bottom w:w="100" w:type="dxa"/>
              <w:end w:w="120" w:type="dxa"/>
            </w:tcMar>
            <w:vAlign w:val="center"/>
          </w:tcPr>
          <w:p>
            <w:pPr>
              <w:spacing w:after="0"/>
            </w:pPr>
            <w:r>
              <w:rPr>
                <w:rFonts w:ascii="Calibri" w:hAnsi="Calibri" w:eastAsia="Microsoft YaHei"/>
                <w:color w:val="25211D"/>
                <w:sz w:val="19"/>
              </w:rPr>
              <w:t>产业链</w:t>
            </w:r>
          </w:p>
        </w:tc>
        <w:tc>
          <w:tcPr>
            <w:tcW w:type="dxa" w:w="3420"/>
            <w:shd w:fill="FFFFFF"/>
            <w:tcMar>
              <w:top w:w="100" w:type="dxa"/>
              <w:start w:w="120" w:type="dxa"/>
              <w:bottom w:w="100" w:type="dxa"/>
              <w:end w:w="120" w:type="dxa"/>
            </w:tcMar>
            <w:vAlign w:val="center"/>
          </w:tcPr>
          <w:p>
            <w:pPr>
              <w:spacing w:after="0"/>
            </w:pPr>
            <w:r>
              <w:rPr>
                <w:rFonts w:ascii="Calibri" w:hAnsi="Calibri" w:eastAsia="Microsoft YaHei"/>
                <w:color w:val="25211D"/>
                <w:sz w:val="19"/>
              </w:rPr>
              <w:t>industrial value chain</w:t>
            </w:r>
          </w:p>
        </w:tc>
        <w:tc>
          <w:tcPr>
            <w:tcW w:type="dxa" w:w="3420"/>
            <w:shd w:fill="FFFFFF"/>
            <w:tcMar>
              <w:top w:w="100" w:type="dxa"/>
              <w:start w:w="120" w:type="dxa"/>
              <w:bottom w:w="100" w:type="dxa"/>
              <w:end w:w="120" w:type="dxa"/>
            </w:tcMar>
            <w:vAlign w:val="center"/>
          </w:tcPr>
          <w:p>
            <w:pPr>
              <w:spacing w:after="0"/>
            </w:pPr>
            <w:r>
              <w:rPr>
                <w:rFonts w:ascii="Calibri" w:hAnsi="Calibri" w:eastAsia="Microsoft YaHei"/>
                <w:color w:val="25211D"/>
                <w:sz w:val="19"/>
              </w:rPr>
              <w:t>按上下游语境使用。</w:t>
            </w:r>
          </w:p>
        </w:tc>
      </w:tr>
      <w:tr>
        <w:tc>
          <w:tcPr>
            <w:tcW w:type="dxa" w:w="2520"/>
            <w:shd w:fill="FAF7F1"/>
            <w:tcMar>
              <w:top w:w="100" w:type="dxa"/>
              <w:start w:w="120" w:type="dxa"/>
              <w:bottom w:w="100" w:type="dxa"/>
              <w:end w:w="120" w:type="dxa"/>
            </w:tcMar>
            <w:vAlign w:val="center"/>
          </w:tcPr>
          <w:p>
            <w:pPr>
              <w:spacing w:after="0"/>
            </w:pPr>
            <w:r>
              <w:rPr>
                <w:rFonts w:ascii="Calibri" w:hAnsi="Calibri" w:eastAsia="Microsoft YaHei"/>
                <w:color w:val="25211D"/>
                <w:sz w:val="19"/>
              </w:rPr>
              <w:t>集聚溢出效应</w:t>
            </w:r>
          </w:p>
        </w:tc>
        <w:tc>
          <w:tcPr>
            <w:tcW w:type="dxa" w:w="3420"/>
            <w:shd w:fill="FAF7F1"/>
            <w:tcMar>
              <w:top w:w="100" w:type="dxa"/>
              <w:start w:w="120" w:type="dxa"/>
              <w:bottom w:w="100" w:type="dxa"/>
              <w:end w:w="120" w:type="dxa"/>
            </w:tcMar>
            <w:vAlign w:val="center"/>
          </w:tcPr>
          <w:p>
            <w:pPr>
              <w:spacing w:after="0"/>
            </w:pPr>
            <w:r>
              <w:rPr>
                <w:rFonts w:ascii="Calibri" w:hAnsi="Calibri" w:eastAsia="Microsoft YaHei"/>
                <w:color w:val="25211D"/>
                <w:sz w:val="19"/>
              </w:rPr>
              <w:t>agglomeration spillover effects</w:t>
            </w:r>
          </w:p>
        </w:tc>
        <w:tc>
          <w:tcPr>
            <w:tcW w:type="dxa" w:w="3420"/>
            <w:shd w:fill="FAF7F1"/>
            <w:tcMar>
              <w:top w:w="100" w:type="dxa"/>
              <w:start w:w="120" w:type="dxa"/>
              <w:bottom w:w="100" w:type="dxa"/>
              <w:end w:w="120" w:type="dxa"/>
            </w:tcMar>
            <w:vAlign w:val="center"/>
          </w:tcPr>
          <w:p>
            <w:pPr>
              <w:spacing w:after="0"/>
            </w:pPr>
            <w:r>
              <w:rPr>
                <w:rFonts w:ascii="Calibri" w:hAnsi="Calibri" w:eastAsia="Microsoft YaHei"/>
                <w:color w:val="25211D"/>
                <w:sz w:val="19"/>
              </w:rPr>
              <w:t>区域经济学表达。</w:t>
            </w:r>
          </w:p>
        </w:tc>
      </w:tr>
    </w:tbl>
    <w:p>
      <w:pPr>
        <w:pStyle w:val="Heading1"/>
      </w:pPr>
      <w:r>
        <w:t>02 双语编译与逐段批注</w:t>
      </w:r>
    </w:p>
    <w:p>
      <w:pPr>
        <w:spacing w:after="160"/>
      </w:pPr>
      <w:r>
        <w:t>每段保留双语对照，并用可见批注说明术语选择、事实边界、表达优化与风险修正。彩色文字用于提示关键专名、数字或结构性表达，不代表原稿修订痕迹。</w:t>
      </w:r>
    </w:p>
    <w:p>
      <w:pPr>
        <w:pStyle w:val="Heading3"/>
      </w:pPr>
      <w:r>
        <w:t>P01  合作背景</w:t>
      </w:r>
    </w:p>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4680"/>
        <w:gridCol w:w="4680"/>
      </w:tblGrid>
      <w:tr>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中文整理稿</w:t>
            </w:r>
          </w:p>
        </w:tc>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English Translation</w:t>
            </w:r>
          </w:p>
        </w:tc>
      </w:tr>
      <w:tr>
        <w:tc>
          <w:tcPr>
            <w:tcW w:type="dxa" w:w="4680"/>
            <w:tcMar>
              <w:top w:w="100" w:type="dxa"/>
              <w:start w:w="120" w:type="dxa"/>
              <w:bottom w:w="100" w:type="dxa"/>
              <w:end w:w="120" w:type="dxa"/>
            </w:tcMar>
            <w:vAlign w:val="center"/>
            <w:shd w:fill="FAF7F1"/>
          </w:tcPr>
          <w:p>
            <w:pPr>
              <w:spacing w:after="0"/>
            </w:pPr>
            <w:r>
              <w:rPr>
                <w:rFonts w:ascii="Calibri" w:hAnsi="Calibri" w:eastAsia="Microsoft YaHei"/>
                <w:b/>
                <w:color w:val="A36B00"/>
              </w:rPr>
              <w:t>2015 年</w:t>
            </w:r>
            <w:r>
              <w:rPr>
                <w:rFonts w:ascii="Calibri" w:hAnsi="Calibri" w:eastAsia="Microsoft YaHei"/>
                <w:b w:val="0"/>
                <w:color w:val="25211D"/>
              </w:rPr>
              <w:t>，中国国家主席习近平与印度尼西亚总统佐科·维多多互访，并签署共建</w:t>
            </w:r>
            <w:r>
              <w:rPr>
                <w:rFonts w:ascii="Calibri" w:hAnsi="Calibri" w:eastAsia="Microsoft YaHei"/>
                <w:b/>
                <w:color w:val="2E74B5"/>
              </w:rPr>
              <w:t>雅加达—万隆高铁</w:t>
            </w:r>
            <w:r>
              <w:rPr>
                <w:rFonts w:ascii="Calibri" w:hAnsi="Calibri" w:eastAsia="Microsoft YaHei"/>
                <w:b w:val="0"/>
                <w:color w:val="25211D"/>
              </w:rPr>
              <w:t>的协议。作为印度尼西亚乃至</w:t>
            </w:r>
            <w:r>
              <w:rPr>
                <w:rFonts w:ascii="Calibri" w:hAnsi="Calibri" w:eastAsia="Microsoft YaHei"/>
                <w:b/>
                <w:color w:val="A36B00"/>
              </w:rPr>
              <w:t>东南亚首条高铁</w:t>
            </w:r>
            <w:r>
              <w:rPr>
                <w:rFonts w:ascii="Calibri" w:hAnsi="Calibri" w:eastAsia="Microsoft YaHei"/>
                <w:b w:val="0"/>
                <w:color w:val="25211D"/>
              </w:rPr>
              <w:t>，该项目不仅有助于改善基础设施与物流条件，也为沿线经济增长和上下游产业发展创造新的机会。</w:t>
            </w:r>
          </w:p>
        </w:tc>
        <w:tc>
          <w:tcPr>
            <w:tcW w:type="dxa" w:w="4680"/>
            <w:tcMar>
              <w:top w:w="100" w:type="dxa"/>
              <w:start w:w="120" w:type="dxa"/>
              <w:bottom w:w="100" w:type="dxa"/>
              <w:end w:w="120" w:type="dxa"/>
            </w:tcMar>
            <w:vAlign w:val="center"/>
            <w:shd w:fill="FAF7F1"/>
          </w:tcPr>
          <w:p>
            <w:pPr>
              <w:spacing w:after="0"/>
            </w:pPr>
            <w:r>
              <w:rPr>
                <w:rFonts w:ascii="Calibri" w:hAnsi="Calibri" w:eastAsia="Microsoft YaHei"/>
                <w:b/>
                <w:color w:val="A36B00"/>
              </w:rPr>
              <w:t>In 2015</w:t>
            </w:r>
            <w:r>
              <w:rPr>
                <w:rFonts w:ascii="Calibri" w:hAnsi="Calibri" w:eastAsia="Microsoft YaHei"/>
                <w:b w:val="0"/>
                <w:color w:val="25211D"/>
              </w:rPr>
              <w:t xml:space="preserve">, Chinese President Xi Jinping and Indonesian President Joko Widodo exchanged visits and signed an agreement to jointly develop the </w:t>
            </w:r>
            <w:r>
              <w:rPr>
                <w:rFonts w:ascii="Calibri" w:hAnsi="Calibri" w:eastAsia="Microsoft YaHei"/>
                <w:b/>
                <w:color w:val="2E74B5"/>
              </w:rPr>
              <w:t>Jakarta–Bandung High-Speed Railway</w:t>
            </w:r>
            <w:r>
              <w:rPr>
                <w:rFonts w:ascii="Calibri" w:hAnsi="Calibri" w:eastAsia="Microsoft YaHei"/>
                <w:b w:val="0"/>
                <w:color w:val="25211D"/>
              </w:rPr>
              <w:t xml:space="preserve">. As the </w:t>
            </w:r>
            <w:r>
              <w:rPr>
                <w:rFonts w:ascii="Calibri" w:hAnsi="Calibri" w:eastAsia="Microsoft YaHei"/>
                <w:b/>
                <w:color w:val="A36B00"/>
              </w:rPr>
              <w:t>first high-speed railway</w:t>
            </w:r>
            <w:r>
              <w:rPr>
                <w:rFonts w:ascii="Calibri" w:hAnsi="Calibri" w:eastAsia="Microsoft YaHei"/>
                <w:b w:val="0"/>
                <w:color w:val="25211D"/>
              </w:rPr>
              <w:t xml:space="preserve"> in Indonesia and Southeast Asia, the project is expected to improve infrastructure and logistics while creating new opportunities for economic growth and upstream and downstream industries along the route.</w:t>
            </w:r>
          </w:p>
        </w:tc>
      </w:tr>
    </w:tbl>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1500"/>
        <w:gridCol w:w="7860"/>
      </w:tblGrid>
      <w:tr>
        <w:trPr>
          <w:cantSplit/>
        </w:trPr>
        <w:tc>
          <w:tcPr>
            <w:tcW w:type="dxa" w:w="1500"/>
            <w:tcMar>
              <w:top w:w="100" w:type="dxa"/>
              <w:start w:w="120" w:type="dxa"/>
              <w:bottom w:w="100" w:type="dxa"/>
              <w:end w:w="120" w:type="dxa"/>
            </w:tcMar>
            <w:vAlign w:val="center"/>
            <w:shd w:fill="FCEBEC"/>
          </w:tcPr>
          <w:p>
            <w:pPr>
              <w:spacing w:after="0"/>
            </w:pPr>
            <w:r>
              <w:rPr>
                <w:rFonts w:ascii="Calibri" w:hAnsi="Calibri" w:eastAsia="Microsoft YaHei"/>
                <w:b/>
                <w:color w:val="9B1C1C"/>
                <w:sz w:val="18"/>
              </w:rPr>
              <w:t>风险</w:t>
            </w:r>
          </w:p>
        </w:tc>
        <w:tc>
          <w:tcPr>
            <w:tcW w:type="dxa" w:w="7860"/>
            <w:tcMar>
              <w:top w:w="100" w:type="dxa"/>
              <w:start w:w="120" w:type="dxa"/>
              <w:bottom w:w="100" w:type="dxa"/>
              <w:end w:w="120" w:type="dxa"/>
            </w:tcMar>
            <w:vAlign w:val="center"/>
            <w:shd w:fill="FCEBEC"/>
          </w:tcPr>
          <w:p>
            <w:pPr>
              <w:spacing w:after="0"/>
            </w:pPr>
            <w:r>
              <w:rPr>
                <w:rFonts w:ascii="Calibri" w:hAnsi="Calibri" w:eastAsia="Microsoft YaHei"/>
                <w:color w:val="25211D"/>
                <w:sz w:val="19"/>
              </w:rPr>
              <w:t>原文件名“卡车经济纽带”与正文主题不一致；本稿保留文件名但在文档标题中明确为雅万高铁。</w:t>
            </w:r>
          </w:p>
        </w:tc>
      </w:tr>
      <w:tr>
        <w:trPr>
          <w:cantSplit/>
        </w:trPr>
        <w:tc>
          <w:tcPr>
            <w:tcW w:type="dxa" w:w="1500"/>
            <w:tcMar>
              <w:top w:w="100" w:type="dxa"/>
              <w:start w:w="120" w:type="dxa"/>
              <w:bottom w:w="100" w:type="dxa"/>
              <w:end w:w="120" w:type="dxa"/>
            </w:tcMar>
            <w:vAlign w:val="center"/>
            <w:shd w:fill="EAF4EE"/>
          </w:tcPr>
          <w:p>
            <w:pPr>
              <w:spacing w:after="0"/>
            </w:pPr>
            <w:r>
              <w:rPr>
                <w:rFonts w:ascii="Calibri" w:hAnsi="Calibri" w:eastAsia="Microsoft YaHei"/>
                <w:b/>
                <w:color w:val="3D6B55"/>
                <w:sz w:val="18"/>
              </w:rPr>
              <w:t>表达</w:t>
            </w:r>
          </w:p>
        </w:tc>
        <w:tc>
          <w:tcPr>
            <w:tcW w:type="dxa" w:w="7860"/>
            <w:tcMar>
              <w:top w:w="100" w:type="dxa"/>
              <w:start w:w="120" w:type="dxa"/>
              <w:bottom w:w="100" w:type="dxa"/>
              <w:end w:w="120" w:type="dxa"/>
            </w:tcMar>
            <w:vAlign w:val="center"/>
            <w:shd w:fill="EAF4EE"/>
          </w:tcPr>
          <w:p>
            <w:pPr>
              <w:spacing w:after="0"/>
            </w:pPr>
            <w:r>
              <w:rPr>
                <w:rFonts w:ascii="Calibri" w:hAnsi="Calibri" w:eastAsia="Microsoft YaHei"/>
                <w:color w:val="25211D"/>
                <w:sz w:val="19"/>
              </w:rPr>
              <w:t>将“提供强劲动力”调整为 creating opportunities，保留方向性而避免过强结果归因。</w:t>
            </w:r>
          </w:p>
        </w:tc>
      </w:tr>
    </w:tbl>
    <w:p>
      <w:pPr>
        <w:pStyle w:val="Heading3"/>
      </w:pPr>
      <w:r>
        <w:t>P02  人口与区域</w:t>
      </w:r>
    </w:p>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4680"/>
        <w:gridCol w:w="4680"/>
      </w:tblGrid>
      <w:tr>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中文整理稿</w:t>
            </w:r>
          </w:p>
        </w:tc>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English Translation</w:t>
            </w:r>
          </w:p>
        </w:tc>
      </w:tr>
      <w:tr>
        <w:tc>
          <w:tcPr>
            <w:tcW w:type="dxa" w:w="4680"/>
            <w:tcMar>
              <w:top w:w="100" w:type="dxa"/>
              <w:start w:w="120" w:type="dxa"/>
              <w:bottom w:w="100" w:type="dxa"/>
              <w:end w:w="120" w:type="dxa"/>
            </w:tcMar>
            <w:vAlign w:val="center"/>
            <w:shd w:fill="FAF7F1"/>
          </w:tcPr>
          <w:p>
            <w:pPr>
              <w:spacing w:after="0"/>
            </w:pPr>
            <w:r>
              <w:rPr>
                <w:rFonts w:ascii="Calibri" w:hAnsi="Calibri" w:eastAsia="Microsoft YaHei"/>
                <w:b w:val="0"/>
                <w:color w:val="25211D"/>
              </w:rPr>
              <w:t>印度尼西亚是</w:t>
            </w:r>
            <w:r>
              <w:rPr>
                <w:rFonts w:ascii="Calibri" w:hAnsi="Calibri" w:eastAsia="Microsoft YaHei"/>
                <w:b/>
                <w:color w:val="A36B00"/>
              </w:rPr>
              <w:t>世界人口第四大国</w:t>
            </w:r>
            <w:r>
              <w:rPr>
                <w:rFonts w:ascii="Calibri" w:hAnsi="Calibri" w:eastAsia="Microsoft YaHei"/>
                <w:b w:val="0"/>
                <w:color w:val="25211D"/>
              </w:rPr>
              <w:t xml:space="preserve">。爪哇岛是全国经济最发达、人口密度最高的地区，常住人口约 </w:t>
            </w:r>
            <w:r>
              <w:rPr>
                <w:rFonts w:ascii="Calibri" w:hAnsi="Calibri" w:eastAsia="Microsoft YaHei"/>
                <w:b/>
                <w:color w:val="A36B00"/>
              </w:rPr>
              <w:t>1.45 亿</w:t>
            </w:r>
            <w:r>
              <w:rPr>
                <w:rFonts w:ascii="Calibri" w:hAnsi="Calibri" w:eastAsia="Microsoft YaHei"/>
                <w:b w:val="0"/>
                <w:color w:val="25211D"/>
              </w:rPr>
              <w:t>，接近全国总人口的一半，也被认为是世界上人口最稠密的岛屿之一。</w:t>
            </w:r>
          </w:p>
        </w:tc>
        <w:tc>
          <w:tcPr>
            <w:tcW w:type="dxa" w:w="4680"/>
            <w:tcMar>
              <w:top w:w="100" w:type="dxa"/>
              <w:start w:w="120" w:type="dxa"/>
              <w:bottom w:w="100" w:type="dxa"/>
              <w:end w:w="120" w:type="dxa"/>
            </w:tcMar>
            <w:vAlign w:val="center"/>
            <w:shd w:fill="FAF7F1"/>
          </w:tcPr>
          <w:p>
            <w:pPr>
              <w:spacing w:after="0"/>
            </w:pPr>
            <w:r>
              <w:rPr>
                <w:rFonts w:ascii="Calibri" w:hAnsi="Calibri" w:eastAsia="Microsoft YaHei"/>
                <w:b w:val="0"/>
                <w:color w:val="25211D"/>
              </w:rPr>
              <w:t xml:space="preserve">Indonesia is the world's </w:t>
            </w:r>
            <w:r>
              <w:rPr>
                <w:rFonts w:ascii="Calibri" w:hAnsi="Calibri" w:eastAsia="Microsoft YaHei"/>
                <w:b/>
                <w:color w:val="A36B00"/>
              </w:rPr>
              <w:t>fourth most populous country</w:t>
            </w:r>
            <w:r>
              <w:rPr>
                <w:rFonts w:ascii="Calibri" w:hAnsi="Calibri" w:eastAsia="Microsoft YaHei"/>
                <w:b w:val="0"/>
                <w:color w:val="25211D"/>
              </w:rPr>
              <w:t xml:space="preserve">. Java is its most economically developed and densely populated region, with around </w:t>
            </w:r>
            <w:r>
              <w:rPr>
                <w:rFonts w:ascii="Calibri" w:hAnsi="Calibri" w:eastAsia="Microsoft YaHei"/>
                <w:b/>
                <w:color w:val="A36B00"/>
              </w:rPr>
              <w:t>145 million</w:t>
            </w:r>
            <w:r>
              <w:rPr>
                <w:rFonts w:ascii="Calibri" w:hAnsi="Calibri" w:eastAsia="Microsoft YaHei"/>
                <w:b w:val="0"/>
                <w:color w:val="25211D"/>
              </w:rPr>
              <w:t xml:space="preserve"> residents—close to half of the national population—and is often described as one of the world's most densely populated islands.</w:t>
            </w:r>
          </w:p>
        </w:tc>
      </w:tr>
    </w:tbl>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1500"/>
        <w:gridCol w:w="7860"/>
      </w:tblGrid>
      <w:tr>
        <w:trPr>
          <w:cantSplit/>
        </w:trPr>
        <w:tc>
          <w:tcPr>
            <w:tcW w:type="dxa" w:w="1500"/>
            <w:tcMar>
              <w:top w:w="100" w:type="dxa"/>
              <w:start w:w="120" w:type="dxa"/>
              <w:bottom w:w="100" w:type="dxa"/>
              <w:end w:w="120" w:type="dxa"/>
            </w:tcMar>
            <w:vAlign w:val="center"/>
            <w:shd w:fill="FFF3D6"/>
          </w:tcPr>
          <w:p>
            <w:pPr>
              <w:spacing w:after="0"/>
            </w:pPr>
            <w:r>
              <w:rPr>
                <w:rFonts w:ascii="Calibri" w:hAnsi="Calibri" w:eastAsia="Microsoft YaHei"/>
                <w:b/>
                <w:color w:val="A36B00"/>
                <w:sz w:val="18"/>
              </w:rPr>
              <w:t>事实</w:t>
            </w:r>
          </w:p>
        </w:tc>
        <w:tc>
          <w:tcPr>
            <w:tcW w:type="dxa" w:w="7860"/>
            <w:tcMar>
              <w:top w:w="100" w:type="dxa"/>
              <w:start w:w="120" w:type="dxa"/>
              <w:bottom w:w="100" w:type="dxa"/>
              <w:end w:w="120" w:type="dxa"/>
            </w:tcMar>
            <w:vAlign w:val="center"/>
            <w:shd w:fill="FFF3D6"/>
          </w:tcPr>
          <w:p>
            <w:pPr>
              <w:spacing w:after="0"/>
            </w:pPr>
            <w:r>
              <w:rPr>
                <w:rFonts w:ascii="Calibri" w:hAnsi="Calibri" w:eastAsia="Microsoft YaHei"/>
                <w:color w:val="25211D"/>
                <w:sz w:val="19"/>
              </w:rPr>
              <w:t>人口规模为阶段性统计值，正式发布应补充统计年份与来源。</w:t>
            </w:r>
          </w:p>
        </w:tc>
      </w:tr>
      <w:tr>
        <w:trPr>
          <w:cantSplit/>
        </w:trPr>
        <w:tc>
          <w:tcPr>
            <w:tcW w:type="dxa" w:w="1500"/>
            <w:tcMar>
              <w:top w:w="100" w:type="dxa"/>
              <w:start w:w="120" w:type="dxa"/>
              <w:bottom w:w="100" w:type="dxa"/>
              <w:end w:w="120" w:type="dxa"/>
            </w:tcMar>
            <w:vAlign w:val="center"/>
            <w:shd w:fill="EAF4EE"/>
          </w:tcPr>
          <w:p>
            <w:pPr>
              <w:spacing w:after="0"/>
            </w:pPr>
            <w:r>
              <w:rPr>
                <w:rFonts w:ascii="Calibri" w:hAnsi="Calibri" w:eastAsia="Microsoft YaHei"/>
                <w:b/>
                <w:color w:val="3D6B55"/>
                <w:sz w:val="18"/>
              </w:rPr>
              <w:t>表达</w:t>
            </w:r>
          </w:p>
        </w:tc>
        <w:tc>
          <w:tcPr>
            <w:tcW w:type="dxa" w:w="7860"/>
            <w:tcMar>
              <w:top w:w="100" w:type="dxa"/>
              <w:start w:w="120" w:type="dxa"/>
              <w:bottom w:w="100" w:type="dxa"/>
              <w:end w:w="120" w:type="dxa"/>
            </w:tcMar>
            <w:vAlign w:val="center"/>
            <w:shd w:fill="EAF4EE"/>
          </w:tcPr>
          <w:p>
            <w:pPr>
              <w:spacing w:after="0"/>
            </w:pPr>
            <w:r>
              <w:rPr>
                <w:rFonts w:ascii="Calibri" w:hAnsi="Calibri" w:eastAsia="Microsoft YaHei"/>
                <w:color w:val="25211D"/>
                <w:sz w:val="19"/>
              </w:rPr>
              <w:t>将“最拥挤”调整为“人口最稠密”，避免带有主观负面色彩。</w:t>
            </w:r>
          </w:p>
        </w:tc>
      </w:tr>
    </w:tbl>
    <w:p>
      <w:pPr>
        <w:pStyle w:val="Heading3"/>
      </w:pPr>
      <w:r>
        <w:t>P03  交通挑战</w:t>
      </w:r>
    </w:p>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4680"/>
        <w:gridCol w:w="4680"/>
      </w:tblGrid>
      <w:tr>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中文整理稿</w:t>
            </w:r>
          </w:p>
        </w:tc>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English Translation</w:t>
            </w:r>
          </w:p>
        </w:tc>
      </w:tr>
      <w:tr>
        <w:tc>
          <w:tcPr>
            <w:tcW w:type="dxa" w:w="4680"/>
            <w:tcMar>
              <w:top w:w="100" w:type="dxa"/>
              <w:start w:w="120" w:type="dxa"/>
              <w:bottom w:w="100" w:type="dxa"/>
              <w:end w:w="120" w:type="dxa"/>
            </w:tcMar>
            <w:vAlign w:val="center"/>
            <w:shd w:fill="FAF7F1"/>
          </w:tcPr>
          <w:p>
            <w:pPr>
              <w:spacing w:after="0"/>
            </w:pPr>
            <w:r>
              <w:rPr>
                <w:rFonts w:ascii="Calibri" w:hAnsi="Calibri" w:eastAsia="Microsoft YaHei"/>
                <w:b w:val="0"/>
                <w:color w:val="25211D"/>
              </w:rPr>
              <w:t xml:space="preserve">人口高度集聚为爪哇岛带来发展机会，也造成交通拥堵与区域发展不平衡等挑战。截至 </w:t>
            </w:r>
            <w:r>
              <w:rPr>
                <w:rFonts w:ascii="Calibri" w:hAnsi="Calibri" w:eastAsia="Microsoft YaHei"/>
                <w:b/>
                <w:color w:val="A36B00"/>
              </w:rPr>
              <w:t>2020 年底</w:t>
            </w:r>
            <w:r>
              <w:rPr>
                <w:rFonts w:ascii="Calibri" w:hAnsi="Calibri" w:eastAsia="Microsoft YaHei"/>
                <w:b w:val="0"/>
                <w:color w:val="25211D"/>
              </w:rPr>
              <w:t xml:space="preserve">，印度尼西亚高速公路总里程约为 </w:t>
            </w:r>
            <w:r>
              <w:rPr>
                <w:rFonts w:ascii="Calibri" w:hAnsi="Calibri" w:eastAsia="Microsoft YaHei"/>
                <w:b/>
                <w:color w:val="A36B00"/>
              </w:rPr>
              <w:t>2,346 公里</w:t>
            </w:r>
            <w:r>
              <w:rPr>
                <w:rFonts w:ascii="Calibri" w:hAnsi="Calibri" w:eastAsia="Microsoft YaHei"/>
                <w:b w:val="0"/>
                <w:color w:val="25211D"/>
              </w:rPr>
              <w:t>，在全国道路体系中的占比仍然较低。</w:t>
            </w:r>
          </w:p>
        </w:tc>
        <w:tc>
          <w:tcPr>
            <w:tcW w:type="dxa" w:w="4680"/>
            <w:tcMar>
              <w:top w:w="100" w:type="dxa"/>
              <w:start w:w="120" w:type="dxa"/>
              <w:bottom w:w="100" w:type="dxa"/>
              <w:end w:w="120" w:type="dxa"/>
            </w:tcMar>
            <w:vAlign w:val="center"/>
            <w:shd w:fill="FAF7F1"/>
          </w:tcPr>
          <w:p>
            <w:pPr>
              <w:spacing w:after="0"/>
            </w:pPr>
            <w:r>
              <w:rPr>
                <w:rFonts w:ascii="Calibri" w:hAnsi="Calibri" w:eastAsia="Microsoft YaHei"/>
                <w:b w:val="0"/>
                <w:color w:val="25211D"/>
              </w:rPr>
              <w:t xml:space="preserve">Java's population concentration creates development opportunities but also brings challenges such as congestion and uneven regional growth. By </w:t>
            </w:r>
            <w:r>
              <w:rPr>
                <w:rFonts w:ascii="Calibri" w:hAnsi="Calibri" w:eastAsia="Microsoft YaHei"/>
                <w:b/>
                <w:color w:val="A36B00"/>
              </w:rPr>
              <w:t>the end of 2020</w:t>
            </w:r>
            <w:r>
              <w:rPr>
                <w:rFonts w:ascii="Calibri" w:hAnsi="Calibri" w:eastAsia="Microsoft YaHei"/>
                <w:b w:val="0"/>
                <w:color w:val="25211D"/>
              </w:rPr>
              <w:t xml:space="preserve">, Indonesia had approximately </w:t>
            </w:r>
            <w:r>
              <w:rPr>
                <w:rFonts w:ascii="Calibri" w:hAnsi="Calibri" w:eastAsia="Microsoft YaHei"/>
                <w:b/>
                <w:color w:val="A36B00"/>
              </w:rPr>
              <w:t>2,346 kilometers</w:t>
            </w:r>
            <w:r>
              <w:rPr>
                <w:rFonts w:ascii="Calibri" w:hAnsi="Calibri" w:eastAsia="Microsoft YaHei"/>
                <w:b w:val="0"/>
                <w:color w:val="25211D"/>
              </w:rPr>
              <w:t xml:space="preserve"> of expressways, representing only a limited share of the country's overall road network.</w:t>
            </w:r>
          </w:p>
        </w:tc>
      </w:tr>
    </w:tbl>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1500"/>
        <w:gridCol w:w="7860"/>
      </w:tblGrid>
      <w:tr>
        <w:trPr>
          <w:cantSplit/>
        </w:trPr>
        <w:tc>
          <w:tcPr>
            <w:tcW w:type="dxa" w:w="1500"/>
            <w:tcMar>
              <w:top w:w="100" w:type="dxa"/>
              <w:start w:w="120" w:type="dxa"/>
              <w:bottom w:w="100" w:type="dxa"/>
              <w:end w:w="120" w:type="dxa"/>
            </w:tcMar>
            <w:vAlign w:val="center"/>
            <w:shd w:fill="FCEBEC"/>
          </w:tcPr>
          <w:p>
            <w:pPr>
              <w:spacing w:after="0"/>
            </w:pPr>
            <w:r>
              <w:rPr>
                <w:rFonts w:ascii="Calibri" w:hAnsi="Calibri" w:eastAsia="Microsoft YaHei"/>
                <w:b/>
                <w:color w:val="9B1C1C"/>
                <w:sz w:val="18"/>
              </w:rPr>
              <w:t>风险</w:t>
            </w:r>
          </w:p>
        </w:tc>
        <w:tc>
          <w:tcPr>
            <w:tcW w:type="dxa" w:w="7860"/>
            <w:tcMar>
              <w:top w:w="100" w:type="dxa"/>
              <w:start w:w="120" w:type="dxa"/>
              <w:bottom w:w="100" w:type="dxa"/>
              <w:end w:w="120" w:type="dxa"/>
            </w:tcMar>
            <w:vAlign w:val="center"/>
            <w:shd w:fill="FCEBEC"/>
          </w:tcPr>
          <w:p>
            <w:pPr>
              <w:spacing w:after="0"/>
            </w:pPr>
            <w:r>
              <w:rPr>
                <w:rFonts w:ascii="Calibri" w:hAnsi="Calibri" w:eastAsia="Microsoft YaHei"/>
                <w:color w:val="25211D"/>
                <w:sz w:val="19"/>
              </w:rPr>
              <w:t>原稿“占全国高速公路总里程 0.7%”表述自相矛盾，本稿改为“在全国道路体系中的占比仍较低”，发布前需回查原始统计口径。</w:t>
            </w:r>
          </w:p>
        </w:tc>
      </w:tr>
      <w:tr>
        <w:trPr>
          <w:cantSplit/>
        </w:trPr>
        <w:tc>
          <w:tcPr>
            <w:tcW w:type="dxa" w:w="1500"/>
            <w:tcMar>
              <w:top w:w="100" w:type="dxa"/>
              <w:start w:w="120" w:type="dxa"/>
              <w:bottom w:w="100" w:type="dxa"/>
              <w:end w:w="120" w:type="dxa"/>
            </w:tcMar>
            <w:vAlign w:val="center"/>
            <w:shd w:fill="EAF4EE"/>
          </w:tcPr>
          <w:p>
            <w:pPr>
              <w:spacing w:after="0"/>
            </w:pPr>
            <w:r>
              <w:rPr>
                <w:rFonts w:ascii="Calibri" w:hAnsi="Calibri" w:eastAsia="Microsoft YaHei"/>
                <w:b/>
                <w:color w:val="3D6B55"/>
                <w:sz w:val="18"/>
              </w:rPr>
              <w:t>表达</w:t>
            </w:r>
          </w:p>
        </w:tc>
        <w:tc>
          <w:tcPr>
            <w:tcW w:type="dxa" w:w="7860"/>
            <w:tcMar>
              <w:top w:w="100" w:type="dxa"/>
              <w:start w:w="120" w:type="dxa"/>
              <w:bottom w:w="100" w:type="dxa"/>
              <w:end w:w="120" w:type="dxa"/>
            </w:tcMar>
            <w:vAlign w:val="center"/>
            <w:shd w:fill="EAF4EE"/>
          </w:tcPr>
          <w:p>
            <w:pPr>
              <w:spacing w:after="0"/>
            </w:pPr>
            <w:r>
              <w:rPr>
                <w:rFonts w:ascii="Calibri" w:hAnsi="Calibri" w:eastAsia="Microsoft YaHei"/>
                <w:color w:val="25211D"/>
                <w:sz w:val="19"/>
              </w:rPr>
              <w:t>用 congestion and uneven regional growth 概括两类结构性挑战。</w:t>
            </w:r>
          </w:p>
        </w:tc>
      </w:tr>
    </w:tbl>
    <w:p>
      <w:pPr>
        <w:pStyle w:val="Heading3"/>
      </w:pPr>
      <w:r>
        <w:t>P04  铁路基础</w:t>
      </w:r>
    </w:p>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4680"/>
        <w:gridCol w:w="4680"/>
      </w:tblGrid>
      <w:tr>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中文整理稿</w:t>
            </w:r>
          </w:p>
        </w:tc>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English Translation</w:t>
            </w:r>
          </w:p>
        </w:tc>
      </w:tr>
      <w:tr>
        <w:tc>
          <w:tcPr>
            <w:tcW w:type="dxa" w:w="4680"/>
            <w:tcMar>
              <w:top w:w="100" w:type="dxa"/>
              <w:start w:w="120" w:type="dxa"/>
              <w:bottom w:w="100" w:type="dxa"/>
              <w:end w:w="120" w:type="dxa"/>
            </w:tcMar>
            <w:vAlign w:val="center"/>
            <w:shd w:fill="FAF7F1"/>
          </w:tcPr>
          <w:p>
            <w:pPr>
              <w:spacing w:after="0"/>
            </w:pPr>
            <w:r>
              <w:rPr>
                <w:rFonts w:ascii="Calibri" w:hAnsi="Calibri" w:eastAsia="Microsoft YaHei"/>
                <w:b w:val="0"/>
                <w:color w:val="25211D"/>
              </w:rPr>
              <w:t xml:space="preserve">截至 </w:t>
            </w:r>
            <w:r>
              <w:rPr>
                <w:rFonts w:ascii="Calibri" w:hAnsi="Calibri" w:eastAsia="Microsoft YaHei"/>
                <w:b/>
                <w:color w:val="A36B00"/>
              </w:rPr>
              <w:t>2021 年底</w:t>
            </w:r>
            <w:r>
              <w:rPr>
                <w:rFonts w:ascii="Calibri" w:hAnsi="Calibri" w:eastAsia="Microsoft YaHei"/>
                <w:b w:val="0"/>
                <w:color w:val="25211D"/>
              </w:rPr>
              <w:t xml:space="preserve">，印度尼西亚投入运营的铁路总里程约为 </w:t>
            </w:r>
            <w:r>
              <w:rPr>
                <w:rFonts w:ascii="Calibri" w:hAnsi="Calibri" w:eastAsia="Microsoft YaHei"/>
                <w:b/>
                <w:color w:val="A36B00"/>
              </w:rPr>
              <w:t>6,466 公里</w:t>
            </w:r>
            <w:r>
              <w:rPr>
                <w:rFonts w:ascii="Calibri" w:hAnsi="Calibri" w:eastAsia="Microsoft YaHei"/>
                <w:b w:val="0"/>
                <w:color w:val="25211D"/>
              </w:rPr>
              <w:t>，</w:t>
            </w:r>
            <w:r>
              <w:rPr>
                <w:rFonts w:ascii="Calibri" w:hAnsi="Calibri" w:eastAsia="Microsoft YaHei"/>
                <w:b/>
                <w:color w:val="2E74B5"/>
              </w:rPr>
              <w:t>电气化率</w:t>
            </w:r>
            <w:r>
              <w:rPr>
                <w:rFonts w:ascii="Calibri" w:hAnsi="Calibri" w:eastAsia="Microsoft YaHei"/>
                <w:b w:val="0"/>
                <w:color w:val="25211D"/>
              </w:rPr>
              <w:t xml:space="preserve">约为 </w:t>
            </w:r>
            <w:r>
              <w:rPr>
                <w:rFonts w:ascii="Calibri" w:hAnsi="Calibri" w:eastAsia="Microsoft YaHei"/>
                <w:b/>
                <w:color w:val="A36B00"/>
              </w:rPr>
              <w:t>11.4%</w:t>
            </w:r>
            <w:r>
              <w:rPr>
                <w:rFonts w:ascii="Calibri" w:hAnsi="Calibri" w:eastAsia="Microsoft YaHei"/>
                <w:b w:val="0"/>
                <w:color w:val="25211D"/>
              </w:rPr>
              <w:t xml:space="preserve">。其中，爪哇岛铁路运营里程约为 </w:t>
            </w:r>
            <w:r>
              <w:rPr>
                <w:rFonts w:ascii="Calibri" w:hAnsi="Calibri" w:eastAsia="Microsoft YaHei"/>
                <w:b/>
                <w:color w:val="A36B00"/>
              </w:rPr>
              <w:t>4,537 公里</w:t>
            </w:r>
            <w:r>
              <w:rPr>
                <w:rFonts w:ascii="Calibri" w:hAnsi="Calibri" w:eastAsia="Microsoft YaHei"/>
                <w:b w:val="0"/>
                <w:color w:val="25211D"/>
              </w:rPr>
              <w:t xml:space="preserve">，占全国总里程约 </w:t>
            </w:r>
            <w:r>
              <w:rPr>
                <w:rFonts w:ascii="Calibri" w:hAnsi="Calibri" w:eastAsia="Microsoft YaHei"/>
                <w:b/>
                <w:color w:val="A36B00"/>
              </w:rPr>
              <w:t>70.2%</w:t>
            </w:r>
            <w:r>
              <w:rPr>
                <w:rFonts w:ascii="Calibri" w:hAnsi="Calibri" w:eastAsia="Microsoft YaHei"/>
                <w:b w:val="0"/>
                <w:color w:val="25211D"/>
              </w:rPr>
              <w:t>。</w:t>
            </w:r>
          </w:p>
        </w:tc>
        <w:tc>
          <w:tcPr>
            <w:tcW w:type="dxa" w:w="4680"/>
            <w:tcMar>
              <w:top w:w="100" w:type="dxa"/>
              <w:start w:w="120" w:type="dxa"/>
              <w:bottom w:w="100" w:type="dxa"/>
              <w:end w:w="120" w:type="dxa"/>
            </w:tcMar>
            <w:vAlign w:val="center"/>
            <w:shd w:fill="FAF7F1"/>
          </w:tcPr>
          <w:p>
            <w:pPr>
              <w:spacing w:after="0"/>
            </w:pPr>
            <w:r>
              <w:rPr>
                <w:rFonts w:ascii="Calibri" w:hAnsi="Calibri" w:eastAsia="Microsoft YaHei"/>
                <w:b w:val="0"/>
                <w:color w:val="25211D"/>
              </w:rPr>
              <w:t xml:space="preserve">By </w:t>
            </w:r>
            <w:r>
              <w:rPr>
                <w:rFonts w:ascii="Calibri" w:hAnsi="Calibri" w:eastAsia="Microsoft YaHei"/>
                <w:b/>
                <w:color w:val="A36B00"/>
              </w:rPr>
              <w:t>the end of 2021</w:t>
            </w:r>
            <w:r>
              <w:rPr>
                <w:rFonts w:ascii="Calibri" w:hAnsi="Calibri" w:eastAsia="Microsoft YaHei"/>
                <w:b w:val="0"/>
                <w:color w:val="25211D"/>
              </w:rPr>
              <w:t xml:space="preserve">, Indonesia had approximately </w:t>
            </w:r>
            <w:r>
              <w:rPr>
                <w:rFonts w:ascii="Calibri" w:hAnsi="Calibri" w:eastAsia="Microsoft YaHei"/>
                <w:b/>
                <w:color w:val="A36B00"/>
              </w:rPr>
              <w:t>6,466 kilometers</w:t>
            </w:r>
            <w:r>
              <w:rPr>
                <w:rFonts w:ascii="Calibri" w:hAnsi="Calibri" w:eastAsia="Microsoft YaHei"/>
                <w:b w:val="0"/>
                <w:color w:val="25211D"/>
              </w:rPr>
              <w:t xml:space="preserve"> of operational railway, with an </w:t>
            </w:r>
            <w:r>
              <w:rPr>
                <w:rFonts w:ascii="Calibri" w:hAnsi="Calibri" w:eastAsia="Microsoft YaHei"/>
                <w:b/>
                <w:color w:val="2E74B5"/>
              </w:rPr>
              <w:t>electrification rate</w:t>
            </w:r>
            <w:r>
              <w:rPr>
                <w:rFonts w:ascii="Calibri" w:hAnsi="Calibri" w:eastAsia="Microsoft YaHei"/>
                <w:b w:val="0"/>
                <w:color w:val="25211D"/>
              </w:rPr>
              <w:t xml:space="preserve"> of about </w:t>
            </w:r>
            <w:r>
              <w:rPr>
                <w:rFonts w:ascii="Calibri" w:hAnsi="Calibri" w:eastAsia="Microsoft YaHei"/>
                <w:b/>
                <w:color w:val="A36B00"/>
              </w:rPr>
              <w:t>11.4%</w:t>
            </w:r>
            <w:r>
              <w:rPr>
                <w:rFonts w:ascii="Calibri" w:hAnsi="Calibri" w:eastAsia="Microsoft YaHei"/>
                <w:b w:val="0"/>
                <w:color w:val="25211D"/>
              </w:rPr>
              <w:t xml:space="preserve">. Java accounted for roughly </w:t>
            </w:r>
            <w:r>
              <w:rPr>
                <w:rFonts w:ascii="Calibri" w:hAnsi="Calibri" w:eastAsia="Microsoft YaHei"/>
                <w:b/>
                <w:color w:val="A36B00"/>
              </w:rPr>
              <w:t>4,537 kilometers</w:t>
            </w:r>
            <w:r>
              <w:rPr>
                <w:rFonts w:ascii="Calibri" w:hAnsi="Calibri" w:eastAsia="Microsoft YaHei"/>
                <w:b w:val="0"/>
                <w:color w:val="25211D"/>
              </w:rPr>
              <w:t xml:space="preserve">, or around </w:t>
            </w:r>
            <w:r>
              <w:rPr>
                <w:rFonts w:ascii="Calibri" w:hAnsi="Calibri" w:eastAsia="Microsoft YaHei"/>
                <w:b/>
                <w:color w:val="A36B00"/>
              </w:rPr>
              <w:t>70.2%</w:t>
            </w:r>
            <w:r>
              <w:rPr>
                <w:rFonts w:ascii="Calibri" w:hAnsi="Calibri" w:eastAsia="Microsoft YaHei"/>
                <w:b w:val="0"/>
                <w:color w:val="25211D"/>
              </w:rPr>
              <w:t xml:space="preserve"> of the national total.</w:t>
            </w:r>
          </w:p>
        </w:tc>
      </w:tr>
    </w:tbl>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1500"/>
        <w:gridCol w:w="7860"/>
      </w:tblGrid>
      <w:tr>
        <w:trPr>
          <w:cantSplit/>
        </w:trPr>
        <w:tc>
          <w:tcPr>
            <w:tcW w:type="dxa" w:w="1500"/>
            <w:tcMar>
              <w:top w:w="100" w:type="dxa"/>
              <w:start w:w="120" w:type="dxa"/>
              <w:bottom w:w="100" w:type="dxa"/>
              <w:end w:w="120" w:type="dxa"/>
            </w:tcMar>
            <w:vAlign w:val="center"/>
            <w:shd w:fill="EAF2F8"/>
          </w:tcPr>
          <w:p>
            <w:pPr>
              <w:spacing w:after="0"/>
            </w:pPr>
            <w:r>
              <w:rPr>
                <w:rFonts w:ascii="Calibri" w:hAnsi="Calibri" w:eastAsia="Microsoft YaHei"/>
                <w:b/>
                <w:color w:val="2E74B5"/>
                <w:sz w:val="18"/>
              </w:rPr>
              <w:t>术语</w:t>
            </w:r>
          </w:p>
        </w:tc>
        <w:tc>
          <w:tcPr>
            <w:tcW w:type="dxa" w:w="7860"/>
            <w:tcMar>
              <w:top w:w="100" w:type="dxa"/>
              <w:start w:w="120" w:type="dxa"/>
              <w:bottom w:w="100" w:type="dxa"/>
              <w:end w:w="120" w:type="dxa"/>
            </w:tcMar>
            <w:vAlign w:val="center"/>
            <w:shd w:fill="EAF2F8"/>
          </w:tcPr>
          <w:p>
            <w:pPr>
              <w:spacing w:after="0"/>
            </w:pPr>
            <w:r>
              <w:rPr>
                <w:rFonts w:ascii="Calibri" w:hAnsi="Calibri" w:eastAsia="Microsoft YaHei"/>
                <w:color w:val="25211D"/>
                <w:sz w:val="19"/>
              </w:rPr>
              <w:t>电气化率统一译为 electrification rate。</w:t>
            </w:r>
          </w:p>
        </w:tc>
      </w:tr>
      <w:tr>
        <w:trPr>
          <w:cantSplit/>
        </w:trPr>
        <w:tc>
          <w:tcPr>
            <w:tcW w:type="dxa" w:w="1500"/>
            <w:tcMar>
              <w:top w:w="100" w:type="dxa"/>
              <w:start w:w="120" w:type="dxa"/>
              <w:bottom w:w="100" w:type="dxa"/>
              <w:end w:w="120" w:type="dxa"/>
            </w:tcMar>
            <w:vAlign w:val="center"/>
            <w:shd w:fill="FFF3D6"/>
          </w:tcPr>
          <w:p>
            <w:pPr>
              <w:spacing w:after="0"/>
            </w:pPr>
            <w:r>
              <w:rPr>
                <w:rFonts w:ascii="Calibri" w:hAnsi="Calibri" w:eastAsia="Microsoft YaHei"/>
                <w:b/>
                <w:color w:val="A36B00"/>
                <w:sz w:val="18"/>
              </w:rPr>
              <w:t>事实</w:t>
            </w:r>
          </w:p>
        </w:tc>
        <w:tc>
          <w:tcPr>
            <w:tcW w:type="dxa" w:w="7860"/>
            <w:tcMar>
              <w:top w:w="100" w:type="dxa"/>
              <w:start w:w="120" w:type="dxa"/>
              <w:bottom w:w="100" w:type="dxa"/>
              <w:end w:w="120" w:type="dxa"/>
            </w:tcMar>
            <w:vAlign w:val="center"/>
            <w:shd w:fill="FFF3D6"/>
          </w:tcPr>
          <w:p>
            <w:pPr>
              <w:spacing w:after="0"/>
            </w:pPr>
            <w:r>
              <w:rPr>
                <w:rFonts w:ascii="Calibri" w:hAnsi="Calibri" w:eastAsia="Microsoft YaHei"/>
                <w:color w:val="25211D"/>
                <w:sz w:val="19"/>
              </w:rPr>
              <w:t>同一段内同时呈现全国总量、爪哇占比和电气化水平，数字需来自同一统计口径。</w:t>
            </w:r>
          </w:p>
        </w:tc>
      </w:tr>
    </w:tbl>
    <w:p>
      <w:pPr>
        <w:pStyle w:val="Heading3"/>
      </w:pPr>
      <w:r>
        <w:t>P05  效率提升</w:t>
      </w:r>
    </w:p>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4680"/>
        <w:gridCol w:w="4680"/>
      </w:tblGrid>
      <w:tr>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中文整理稿</w:t>
            </w:r>
          </w:p>
        </w:tc>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English Translation</w:t>
            </w:r>
          </w:p>
        </w:tc>
      </w:tr>
      <w:tr>
        <w:tc>
          <w:tcPr>
            <w:tcW w:type="dxa" w:w="4680"/>
            <w:tcMar>
              <w:top w:w="100" w:type="dxa"/>
              <w:start w:w="120" w:type="dxa"/>
              <w:bottom w:w="100" w:type="dxa"/>
              <w:end w:w="120" w:type="dxa"/>
            </w:tcMar>
            <w:vAlign w:val="center"/>
            <w:shd w:fill="FAF7F1"/>
          </w:tcPr>
          <w:p>
            <w:pPr>
              <w:spacing w:after="0"/>
            </w:pPr>
            <w:r>
              <w:rPr>
                <w:rFonts w:ascii="Calibri" w:hAnsi="Calibri" w:eastAsia="Microsoft YaHei"/>
                <w:b w:val="0"/>
                <w:color w:val="25211D"/>
              </w:rPr>
              <w:t xml:space="preserve">雅加达—万隆高铁全长 </w:t>
            </w:r>
            <w:r>
              <w:rPr>
                <w:rFonts w:ascii="Calibri" w:hAnsi="Calibri" w:eastAsia="Microsoft YaHei"/>
                <w:b/>
                <w:color w:val="A36B00"/>
              </w:rPr>
              <w:t>142.3 公里</w:t>
            </w:r>
            <w:r>
              <w:rPr>
                <w:rFonts w:ascii="Calibri" w:hAnsi="Calibri" w:eastAsia="Microsoft YaHei"/>
                <w:b w:val="0"/>
                <w:color w:val="25211D"/>
              </w:rPr>
              <w:t xml:space="preserve">，最高设计时速 </w:t>
            </w:r>
            <w:r>
              <w:rPr>
                <w:rFonts w:ascii="Calibri" w:hAnsi="Calibri" w:eastAsia="Microsoft YaHei"/>
                <w:b/>
                <w:color w:val="A36B00"/>
              </w:rPr>
              <w:t>350 公里</w:t>
            </w:r>
            <w:r>
              <w:rPr>
                <w:rFonts w:ascii="Calibri" w:hAnsi="Calibri" w:eastAsia="Microsoft YaHei"/>
                <w:b w:val="0"/>
                <w:color w:val="25211D"/>
              </w:rPr>
              <w:t xml:space="preserve">。建成后，两地通行时间由三个多小时缩短至约 </w:t>
            </w:r>
            <w:r>
              <w:rPr>
                <w:rFonts w:ascii="Calibri" w:hAnsi="Calibri" w:eastAsia="Microsoft YaHei"/>
                <w:b/>
                <w:color w:val="A36B00"/>
              </w:rPr>
              <w:t>40 分钟</w:t>
            </w:r>
            <w:r>
              <w:rPr>
                <w:rFonts w:ascii="Calibri" w:hAnsi="Calibri" w:eastAsia="Microsoft YaHei"/>
                <w:b w:val="0"/>
                <w:color w:val="25211D"/>
              </w:rPr>
              <w:t>，有助于缓解雅加达及周边地区交通压力并促进人员流动。</w:t>
            </w:r>
          </w:p>
        </w:tc>
        <w:tc>
          <w:tcPr>
            <w:tcW w:type="dxa" w:w="4680"/>
            <w:tcMar>
              <w:top w:w="100" w:type="dxa"/>
              <w:start w:w="120" w:type="dxa"/>
              <w:bottom w:w="100" w:type="dxa"/>
              <w:end w:w="120" w:type="dxa"/>
            </w:tcMar>
            <w:vAlign w:val="center"/>
            <w:shd w:fill="FAF7F1"/>
          </w:tcPr>
          <w:p>
            <w:pPr>
              <w:spacing w:after="0"/>
            </w:pPr>
            <w:r>
              <w:rPr>
                <w:rFonts w:ascii="Calibri" w:hAnsi="Calibri" w:eastAsia="Microsoft YaHei"/>
                <w:b w:val="0"/>
                <w:color w:val="25211D"/>
              </w:rPr>
              <w:t xml:space="preserve">The Jakarta–Bandung HSR spans </w:t>
            </w:r>
            <w:r>
              <w:rPr>
                <w:rFonts w:ascii="Calibri" w:hAnsi="Calibri" w:eastAsia="Microsoft YaHei"/>
                <w:b/>
                <w:color w:val="A36B00"/>
              </w:rPr>
              <w:t>142.3 kilometers</w:t>
            </w:r>
            <w:r>
              <w:rPr>
                <w:rFonts w:ascii="Calibri" w:hAnsi="Calibri" w:eastAsia="Microsoft YaHei"/>
                <w:b w:val="0"/>
                <w:color w:val="25211D"/>
              </w:rPr>
              <w:t xml:space="preserve"> and has a maximum design speed of </w:t>
            </w:r>
            <w:r>
              <w:rPr>
                <w:rFonts w:ascii="Calibri" w:hAnsi="Calibri" w:eastAsia="Microsoft YaHei"/>
                <w:b/>
                <w:color w:val="A36B00"/>
              </w:rPr>
              <w:t>350 kilometers per hour</w:t>
            </w:r>
            <w:r>
              <w:rPr>
                <w:rFonts w:ascii="Calibri" w:hAnsi="Calibri" w:eastAsia="Microsoft YaHei"/>
                <w:b w:val="0"/>
                <w:color w:val="25211D"/>
              </w:rPr>
              <w:t xml:space="preserve">. It reduces travel time between the two cities from more than three hours to around </w:t>
            </w:r>
            <w:r>
              <w:rPr>
                <w:rFonts w:ascii="Calibri" w:hAnsi="Calibri" w:eastAsia="Microsoft YaHei"/>
                <w:b/>
                <w:color w:val="A36B00"/>
              </w:rPr>
              <w:t>40 minutes</w:t>
            </w:r>
            <w:r>
              <w:rPr>
                <w:rFonts w:ascii="Calibri" w:hAnsi="Calibri" w:eastAsia="Microsoft YaHei"/>
                <w:b w:val="0"/>
                <w:color w:val="25211D"/>
              </w:rPr>
              <w:t>, helping ease transport pressure around Jakarta and supporting greater mobility.</w:t>
            </w:r>
          </w:p>
        </w:tc>
      </w:tr>
    </w:tbl>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1500"/>
        <w:gridCol w:w="7860"/>
      </w:tblGrid>
      <w:tr>
        <w:trPr>
          <w:cantSplit/>
        </w:trPr>
        <w:tc>
          <w:tcPr>
            <w:tcW w:type="dxa" w:w="1500"/>
            <w:tcMar>
              <w:top w:w="100" w:type="dxa"/>
              <w:start w:w="120" w:type="dxa"/>
              <w:bottom w:w="100" w:type="dxa"/>
              <w:end w:w="120" w:type="dxa"/>
            </w:tcMar>
            <w:vAlign w:val="center"/>
            <w:shd w:fill="FCEBEC"/>
          </w:tcPr>
          <w:p>
            <w:pPr>
              <w:spacing w:after="0"/>
            </w:pPr>
            <w:r>
              <w:rPr>
                <w:rFonts w:ascii="Calibri" w:hAnsi="Calibri" w:eastAsia="Microsoft YaHei"/>
                <w:b/>
                <w:color w:val="9B1C1C"/>
                <w:sz w:val="18"/>
              </w:rPr>
              <w:t>风险</w:t>
            </w:r>
          </w:p>
        </w:tc>
        <w:tc>
          <w:tcPr>
            <w:tcW w:type="dxa" w:w="7860"/>
            <w:tcMar>
              <w:top w:w="100" w:type="dxa"/>
              <w:start w:w="120" w:type="dxa"/>
              <w:bottom w:w="100" w:type="dxa"/>
              <w:end w:w="120" w:type="dxa"/>
            </w:tcMar>
            <w:vAlign w:val="center"/>
            <w:shd w:fill="FCEBEC"/>
          </w:tcPr>
          <w:p>
            <w:pPr>
              <w:spacing w:after="0"/>
            </w:pPr>
            <w:r>
              <w:rPr>
                <w:rFonts w:ascii="Calibri" w:hAnsi="Calibri" w:eastAsia="Microsoft YaHei"/>
                <w:color w:val="25211D"/>
                <w:sz w:val="19"/>
              </w:rPr>
              <w:t>原稿多处出现“万东高铁”，本稿统一更正为“雅加达—万隆高铁 / 雅万高铁”。</w:t>
            </w:r>
          </w:p>
        </w:tc>
      </w:tr>
      <w:tr>
        <w:trPr>
          <w:cantSplit/>
        </w:trPr>
        <w:tc>
          <w:tcPr>
            <w:tcW w:type="dxa" w:w="1500"/>
            <w:tcMar>
              <w:top w:w="100" w:type="dxa"/>
              <w:start w:w="120" w:type="dxa"/>
              <w:bottom w:w="100" w:type="dxa"/>
              <w:end w:w="120" w:type="dxa"/>
            </w:tcMar>
            <w:vAlign w:val="center"/>
            <w:shd w:fill="EAF4EE"/>
          </w:tcPr>
          <w:p>
            <w:pPr>
              <w:spacing w:after="0"/>
            </w:pPr>
            <w:r>
              <w:rPr>
                <w:rFonts w:ascii="Calibri" w:hAnsi="Calibri" w:eastAsia="Microsoft YaHei"/>
                <w:b/>
                <w:color w:val="3D6B55"/>
                <w:sz w:val="18"/>
              </w:rPr>
              <w:t>表达</w:t>
            </w:r>
          </w:p>
        </w:tc>
        <w:tc>
          <w:tcPr>
            <w:tcW w:type="dxa" w:w="7860"/>
            <w:tcMar>
              <w:top w:w="100" w:type="dxa"/>
              <w:start w:w="120" w:type="dxa"/>
              <w:bottom w:w="100" w:type="dxa"/>
              <w:end w:w="120" w:type="dxa"/>
            </w:tcMar>
            <w:vAlign w:val="center"/>
            <w:shd w:fill="EAF4EE"/>
          </w:tcPr>
          <w:p>
            <w:pPr>
              <w:spacing w:after="0"/>
            </w:pPr>
            <w:r>
              <w:rPr>
                <w:rFonts w:ascii="Calibri" w:hAnsi="Calibri" w:eastAsia="Microsoft YaHei"/>
                <w:color w:val="25211D"/>
                <w:sz w:val="19"/>
              </w:rPr>
              <w:t>将“有效节省旅行时间”改为直接量化的前后对比。</w:t>
            </w:r>
          </w:p>
        </w:tc>
      </w:tr>
    </w:tbl>
    <w:p>
      <w:pPr>
        <w:pStyle w:val="Heading3"/>
      </w:pPr>
      <w:r>
        <w:t>P06  产业链带动</w:t>
      </w:r>
    </w:p>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4680"/>
        <w:gridCol w:w="4680"/>
      </w:tblGrid>
      <w:tr>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中文整理稿</w:t>
            </w:r>
          </w:p>
        </w:tc>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English Translation</w:t>
            </w:r>
          </w:p>
        </w:tc>
      </w:tr>
      <w:tr>
        <w:tc>
          <w:tcPr>
            <w:tcW w:type="dxa" w:w="4680"/>
            <w:tcMar>
              <w:top w:w="100" w:type="dxa"/>
              <w:start w:w="120" w:type="dxa"/>
              <w:bottom w:w="100" w:type="dxa"/>
              <w:end w:w="120" w:type="dxa"/>
            </w:tcMar>
            <w:vAlign w:val="center"/>
            <w:shd w:fill="FAF7F1"/>
          </w:tcPr>
          <w:p>
            <w:pPr>
              <w:spacing w:after="0"/>
            </w:pPr>
            <w:r>
              <w:rPr>
                <w:rFonts w:ascii="Calibri" w:hAnsi="Calibri" w:eastAsia="Microsoft YaHei"/>
                <w:b w:val="0"/>
                <w:color w:val="25211D"/>
              </w:rPr>
              <w:t>雅万高铁建设涉及完整的</w:t>
            </w:r>
            <w:r>
              <w:rPr>
                <w:rFonts w:ascii="Calibri" w:hAnsi="Calibri" w:eastAsia="Microsoft YaHei"/>
                <w:b/>
                <w:color w:val="2E74B5"/>
              </w:rPr>
              <w:t>产业链</w:t>
            </w:r>
            <w:r>
              <w:rPr>
                <w:rFonts w:ascii="Calibri" w:hAnsi="Calibri" w:eastAsia="Microsoft YaHei"/>
                <w:b w:val="0"/>
                <w:color w:val="25211D"/>
              </w:rPr>
              <w:t>：</w:t>
            </w:r>
            <w:r>
              <w:rPr>
                <w:rFonts w:ascii="Calibri" w:hAnsi="Calibri" w:eastAsia="Microsoft YaHei"/>
                <w:b/>
                <w:color w:val="2E74B5"/>
              </w:rPr>
              <w:t>上游</w:t>
            </w:r>
            <w:r>
              <w:rPr>
                <w:rFonts w:ascii="Calibri" w:hAnsi="Calibri" w:eastAsia="Microsoft YaHei"/>
                <w:b w:val="0"/>
                <w:color w:val="25211D"/>
              </w:rPr>
              <w:t>包括技术研发，</w:t>
            </w:r>
            <w:r>
              <w:rPr>
                <w:rFonts w:ascii="Calibri" w:hAnsi="Calibri" w:eastAsia="Microsoft YaHei"/>
                <w:b/>
                <w:color w:val="2E74B5"/>
              </w:rPr>
              <w:t>中游</w:t>
            </w:r>
            <w:r>
              <w:rPr>
                <w:rFonts w:ascii="Calibri" w:hAnsi="Calibri" w:eastAsia="Microsoft YaHei"/>
                <w:b w:val="0"/>
                <w:color w:val="25211D"/>
              </w:rPr>
              <w:t>涵盖工程建设与设备制造，</w:t>
            </w:r>
            <w:r>
              <w:rPr>
                <w:rFonts w:ascii="Calibri" w:hAnsi="Calibri" w:eastAsia="Microsoft YaHei"/>
                <w:b/>
                <w:color w:val="2E74B5"/>
              </w:rPr>
              <w:t>下游</w:t>
            </w:r>
            <w:r>
              <w:rPr>
                <w:rFonts w:ascii="Calibri" w:hAnsi="Calibri" w:eastAsia="Microsoft YaHei"/>
                <w:b w:val="0"/>
                <w:color w:val="25211D"/>
              </w:rPr>
              <w:t>则延伸至运营维护和增值服务。项目为爪哇岛及印度尼西亚其他地区的相关产业提供了协同发展的空间。</w:t>
            </w:r>
          </w:p>
        </w:tc>
        <w:tc>
          <w:tcPr>
            <w:tcW w:type="dxa" w:w="4680"/>
            <w:tcMar>
              <w:top w:w="100" w:type="dxa"/>
              <w:start w:w="120" w:type="dxa"/>
              <w:bottom w:w="100" w:type="dxa"/>
              <w:end w:w="120" w:type="dxa"/>
            </w:tcMar>
            <w:vAlign w:val="center"/>
            <w:shd w:fill="FAF7F1"/>
          </w:tcPr>
          <w:p>
            <w:pPr>
              <w:spacing w:after="0"/>
            </w:pPr>
            <w:r>
              <w:rPr>
                <w:rFonts w:ascii="Calibri" w:hAnsi="Calibri" w:eastAsia="Microsoft YaHei"/>
                <w:b w:val="0"/>
                <w:color w:val="25211D"/>
              </w:rPr>
              <w:t xml:space="preserve">Development of the Jakarta–Bandung HSR involves a broad </w:t>
            </w:r>
            <w:r>
              <w:rPr>
                <w:rFonts w:ascii="Calibri" w:hAnsi="Calibri" w:eastAsia="Microsoft YaHei"/>
                <w:b/>
                <w:color w:val="2E74B5"/>
              </w:rPr>
              <w:t>industrial value chain</w:t>
            </w:r>
            <w:r>
              <w:rPr>
                <w:rFonts w:ascii="Calibri" w:hAnsi="Calibri" w:eastAsia="Microsoft YaHei"/>
                <w:b w:val="0"/>
                <w:color w:val="25211D"/>
              </w:rPr>
              <w:t xml:space="preserve">: </w:t>
            </w:r>
            <w:r>
              <w:rPr>
                <w:rFonts w:ascii="Calibri" w:hAnsi="Calibri" w:eastAsia="Microsoft YaHei"/>
                <w:b/>
                <w:color w:val="2E74B5"/>
              </w:rPr>
              <w:t>upstream</w:t>
            </w:r>
            <w:r>
              <w:rPr>
                <w:rFonts w:ascii="Calibri" w:hAnsi="Calibri" w:eastAsia="Microsoft YaHei"/>
                <w:b w:val="0"/>
                <w:color w:val="25211D"/>
              </w:rPr>
              <w:t xml:space="preserve"> technology research and development, </w:t>
            </w:r>
            <w:r>
              <w:rPr>
                <w:rFonts w:ascii="Calibri" w:hAnsi="Calibri" w:eastAsia="Microsoft YaHei"/>
                <w:b/>
                <w:color w:val="2E74B5"/>
              </w:rPr>
              <w:t>midstream</w:t>
            </w:r>
            <w:r>
              <w:rPr>
                <w:rFonts w:ascii="Calibri" w:hAnsi="Calibri" w:eastAsia="Microsoft YaHei"/>
                <w:b w:val="0"/>
                <w:color w:val="25211D"/>
              </w:rPr>
              <w:t xml:space="preserve"> engineering and equipment manufacturing, and </w:t>
            </w:r>
            <w:r>
              <w:rPr>
                <w:rFonts w:ascii="Calibri" w:hAnsi="Calibri" w:eastAsia="Microsoft YaHei"/>
                <w:b/>
                <w:color w:val="2E74B5"/>
              </w:rPr>
              <w:t>downstream</w:t>
            </w:r>
            <w:r>
              <w:rPr>
                <w:rFonts w:ascii="Calibri" w:hAnsi="Calibri" w:eastAsia="Microsoft YaHei"/>
                <w:b w:val="0"/>
                <w:color w:val="25211D"/>
              </w:rPr>
              <w:t xml:space="preserve"> operations, maintenance and value-added services. The project creates room for related industries in Java and other parts of Indonesia to develop in coordination.</w:t>
            </w:r>
          </w:p>
        </w:tc>
      </w:tr>
    </w:tbl>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1500"/>
        <w:gridCol w:w="7860"/>
      </w:tblGrid>
      <w:tr>
        <w:trPr>
          <w:cantSplit/>
        </w:trPr>
        <w:tc>
          <w:tcPr>
            <w:tcW w:type="dxa" w:w="1500"/>
            <w:tcMar>
              <w:top w:w="100" w:type="dxa"/>
              <w:start w:w="120" w:type="dxa"/>
              <w:bottom w:w="100" w:type="dxa"/>
              <w:end w:w="120" w:type="dxa"/>
            </w:tcMar>
            <w:vAlign w:val="center"/>
            <w:shd w:fill="EAF2F8"/>
          </w:tcPr>
          <w:p>
            <w:pPr>
              <w:spacing w:after="0"/>
            </w:pPr>
            <w:r>
              <w:rPr>
                <w:rFonts w:ascii="Calibri" w:hAnsi="Calibri" w:eastAsia="Microsoft YaHei"/>
                <w:b/>
                <w:color w:val="2E74B5"/>
                <w:sz w:val="18"/>
              </w:rPr>
              <w:t>术语</w:t>
            </w:r>
          </w:p>
        </w:tc>
        <w:tc>
          <w:tcPr>
            <w:tcW w:type="dxa" w:w="7860"/>
            <w:tcMar>
              <w:top w:w="100" w:type="dxa"/>
              <w:start w:w="120" w:type="dxa"/>
              <w:bottom w:w="100" w:type="dxa"/>
              <w:end w:w="120" w:type="dxa"/>
            </w:tcMar>
            <w:vAlign w:val="center"/>
            <w:shd w:fill="EAF2F8"/>
          </w:tcPr>
          <w:p>
            <w:pPr>
              <w:spacing w:after="0"/>
            </w:pPr>
            <w:r>
              <w:rPr>
                <w:rFonts w:ascii="Calibri" w:hAnsi="Calibri" w:eastAsia="Microsoft YaHei"/>
                <w:color w:val="25211D"/>
                <w:sz w:val="19"/>
              </w:rPr>
              <w:t>用 upstream / midstream / downstream 维持三段产业链结构。</w:t>
            </w:r>
          </w:p>
        </w:tc>
      </w:tr>
      <w:tr>
        <w:trPr>
          <w:cantSplit/>
        </w:trPr>
        <w:tc>
          <w:tcPr>
            <w:tcW w:type="dxa" w:w="1500"/>
            <w:tcMar>
              <w:top w:w="100" w:type="dxa"/>
              <w:start w:w="120" w:type="dxa"/>
              <w:bottom w:w="100" w:type="dxa"/>
              <w:end w:w="120" w:type="dxa"/>
            </w:tcMar>
            <w:vAlign w:val="center"/>
            <w:shd w:fill="EAF4EE"/>
          </w:tcPr>
          <w:p>
            <w:pPr>
              <w:spacing w:after="0"/>
            </w:pPr>
            <w:r>
              <w:rPr>
                <w:rFonts w:ascii="Calibri" w:hAnsi="Calibri" w:eastAsia="Microsoft YaHei"/>
                <w:b/>
                <w:color w:val="3D6B55"/>
                <w:sz w:val="18"/>
              </w:rPr>
              <w:t>表达</w:t>
            </w:r>
          </w:p>
        </w:tc>
        <w:tc>
          <w:tcPr>
            <w:tcW w:type="dxa" w:w="7860"/>
            <w:tcMar>
              <w:top w:w="100" w:type="dxa"/>
              <w:start w:w="120" w:type="dxa"/>
              <w:bottom w:w="100" w:type="dxa"/>
              <w:end w:w="120" w:type="dxa"/>
            </w:tcMar>
            <w:vAlign w:val="center"/>
            <w:shd w:fill="EAF4EE"/>
          </w:tcPr>
          <w:p>
            <w:pPr>
              <w:spacing w:after="0"/>
            </w:pPr>
            <w:r>
              <w:rPr>
                <w:rFonts w:ascii="Calibri" w:hAnsi="Calibri" w:eastAsia="Microsoft YaHei"/>
                <w:color w:val="25211D"/>
                <w:sz w:val="19"/>
              </w:rPr>
              <w:t>将“所有部门都将实现发展”的绝对判断调整为 creates room for。</w:t>
            </w:r>
          </w:p>
        </w:tc>
      </w:tr>
    </w:tbl>
    <w:p>
      <w:pPr>
        <w:pStyle w:val="Heading3"/>
      </w:pPr>
      <w:r>
        <w:t>P07  区域外溢</w:t>
      </w:r>
    </w:p>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4680"/>
        <w:gridCol w:w="4680"/>
      </w:tblGrid>
      <w:tr>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中文整理稿</w:t>
            </w:r>
          </w:p>
        </w:tc>
        <w:tc>
          <w:tcPr>
            <w:tcW w:type="dxa" w:w="4680"/>
            <w:tcMar>
              <w:top w:w="100" w:type="dxa"/>
              <w:start w:w="120" w:type="dxa"/>
              <w:bottom w:w="100" w:type="dxa"/>
              <w:end w:w="120" w:type="dxa"/>
            </w:tcMar>
            <w:vAlign w:val="center"/>
            <w:shd w:fill="17324D"/>
          </w:tcPr>
          <w:p>
            <w:pPr>
              <w:spacing w:after="0"/>
            </w:pPr>
            <w:r>
              <w:rPr>
                <w:rFonts w:ascii="Calibri" w:hAnsi="Calibri" w:eastAsia="Microsoft YaHei"/>
                <w:b/>
                <w:color w:val="FFFFFF"/>
                <w:sz w:val="18"/>
              </w:rPr>
              <w:t>English Translation</w:t>
            </w:r>
          </w:p>
        </w:tc>
      </w:tr>
      <w:tr>
        <w:tc>
          <w:tcPr>
            <w:tcW w:type="dxa" w:w="4680"/>
            <w:tcMar>
              <w:top w:w="100" w:type="dxa"/>
              <w:start w:w="120" w:type="dxa"/>
              <w:bottom w:w="100" w:type="dxa"/>
              <w:end w:w="120" w:type="dxa"/>
            </w:tcMar>
            <w:vAlign w:val="center"/>
            <w:shd w:fill="FAF7F1"/>
          </w:tcPr>
          <w:p>
            <w:pPr>
              <w:spacing w:after="0"/>
            </w:pPr>
            <w:r>
              <w:rPr>
                <w:rFonts w:ascii="Calibri" w:hAnsi="Calibri" w:eastAsia="Microsoft YaHei"/>
                <w:b w:val="0"/>
                <w:color w:val="25211D"/>
              </w:rPr>
              <w:t>项目还可能带动沿线工业园区发展，促进资源</w:t>
            </w:r>
            <w:r>
              <w:rPr>
                <w:rFonts w:ascii="Calibri" w:hAnsi="Calibri" w:eastAsia="Microsoft YaHei"/>
                <w:b/>
                <w:color w:val="2E74B5"/>
              </w:rPr>
              <w:t>跨区域配置</w:t>
            </w:r>
            <w:r>
              <w:rPr>
                <w:rFonts w:ascii="Calibri" w:hAnsi="Calibri" w:eastAsia="Microsoft YaHei"/>
                <w:b w:val="0"/>
                <w:color w:val="25211D"/>
              </w:rPr>
              <w:t>，创造就业并吸引投资。通过连接雅加达、万隆及周边城市的市场，铁路有望形成更强的经济</w:t>
            </w:r>
            <w:r>
              <w:rPr>
                <w:rFonts w:ascii="Calibri" w:hAnsi="Calibri" w:eastAsia="Microsoft YaHei"/>
                <w:b/>
                <w:color w:val="2E74B5"/>
              </w:rPr>
              <w:t>集聚与溢出效应</w:t>
            </w:r>
            <w:r>
              <w:rPr>
                <w:rFonts w:ascii="Calibri" w:hAnsi="Calibri" w:eastAsia="Microsoft YaHei"/>
                <w:b w:val="0"/>
                <w:color w:val="25211D"/>
              </w:rPr>
              <w:t>。</w:t>
            </w:r>
          </w:p>
        </w:tc>
        <w:tc>
          <w:tcPr>
            <w:tcW w:type="dxa" w:w="4680"/>
            <w:tcMar>
              <w:top w:w="100" w:type="dxa"/>
              <w:start w:w="120" w:type="dxa"/>
              <w:bottom w:w="100" w:type="dxa"/>
              <w:end w:w="120" w:type="dxa"/>
            </w:tcMar>
            <w:vAlign w:val="center"/>
            <w:shd w:fill="FAF7F1"/>
          </w:tcPr>
          <w:p>
            <w:pPr>
              <w:spacing w:after="0"/>
            </w:pPr>
            <w:r>
              <w:rPr>
                <w:rFonts w:ascii="Calibri" w:hAnsi="Calibri" w:eastAsia="Microsoft YaHei"/>
                <w:b w:val="0"/>
                <w:color w:val="25211D"/>
              </w:rPr>
              <w:t xml:space="preserve">The project may also support industrial parks along the route, facilitate </w:t>
            </w:r>
            <w:r>
              <w:rPr>
                <w:rFonts w:ascii="Calibri" w:hAnsi="Calibri" w:eastAsia="Microsoft YaHei"/>
                <w:b/>
                <w:color w:val="2E74B5"/>
              </w:rPr>
              <w:t>cross-regional allocation</w:t>
            </w:r>
            <w:r>
              <w:rPr>
                <w:rFonts w:ascii="Calibri" w:hAnsi="Calibri" w:eastAsia="Microsoft YaHei"/>
                <w:b w:val="0"/>
                <w:color w:val="25211D"/>
              </w:rPr>
              <w:t xml:space="preserve"> of resources, create jobs and attract investment. By linking markets in Jakarta, Bandung and neighboring cities, the railway could strengthen </w:t>
            </w:r>
            <w:r>
              <w:rPr>
                <w:rFonts w:ascii="Calibri" w:hAnsi="Calibri" w:eastAsia="Microsoft YaHei"/>
                <w:b/>
                <w:color w:val="2E74B5"/>
              </w:rPr>
              <w:t>economic agglomeration</w:t>
            </w:r>
            <w:r>
              <w:rPr>
                <w:rFonts w:ascii="Calibri" w:hAnsi="Calibri" w:eastAsia="Microsoft YaHei"/>
                <w:b w:val="0"/>
                <w:color w:val="25211D"/>
              </w:rPr>
              <w:t xml:space="preserve"> and generate wider </w:t>
            </w:r>
            <w:r>
              <w:rPr>
                <w:rFonts w:ascii="Calibri" w:hAnsi="Calibri" w:eastAsia="Microsoft YaHei"/>
                <w:b/>
                <w:color w:val="2E74B5"/>
              </w:rPr>
              <w:t>spillover effects</w:t>
            </w:r>
            <w:r>
              <w:rPr>
                <w:rFonts w:ascii="Calibri" w:hAnsi="Calibri" w:eastAsia="Microsoft YaHei"/>
                <w:b w:val="0"/>
                <w:color w:val="25211D"/>
              </w:rPr>
              <w:t>.</w:t>
            </w:r>
          </w:p>
        </w:tc>
      </w:tr>
    </w:tbl>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1500"/>
        <w:gridCol w:w="7860"/>
      </w:tblGrid>
      <w:tr>
        <w:trPr>
          <w:cantSplit/>
        </w:trPr>
        <w:tc>
          <w:tcPr>
            <w:tcW w:type="dxa" w:w="1500"/>
            <w:tcMar>
              <w:top w:w="100" w:type="dxa"/>
              <w:start w:w="120" w:type="dxa"/>
              <w:bottom w:w="100" w:type="dxa"/>
              <w:end w:w="120" w:type="dxa"/>
            </w:tcMar>
            <w:vAlign w:val="center"/>
            <w:shd w:fill="EAF4EE"/>
          </w:tcPr>
          <w:p>
            <w:pPr>
              <w:spacing w:after="0"/>
            </w:pPr>
            <w:r>
              <w:rPr>
                <w:rFonts w:ascii="Calibri" w:hAnsi="Calibri" w:eastAsia="Microsoft YaHei"/>
                <w:b/>
                <w:color w:val="3D6B55"/>
                <w:sz w:val="18"/>
              </w:rPr>
              <w:t>表达</w:t>
            </w:r>
          </w:p>
        </w:tc>
        <w:tc>
          <w:tcPr>
            <w:tcW w:type="dxa" w:w="7860"/>
            <w:tcMar>
              <w:top w:w="100" w:type="dxa"/>
              <w:start w:w="120" w:type="dxa"/>
              <w:bottom w:w="100" w:type="dxa"/>
              <w:end w:w="120" w:type="dxa"/>
            </w:tcMar>
            <w:vAlign w:val="center"/>
            <w:shd w:fill="EAF4EE"/>
          </w:tcPr>
          <w:p>
            <w:pPr>
              <w:spacing w:after="0"/>
            </w:pPr>
            <w:r>
              <w:rPr>
                <w:rFonts w:ascii="Calibri" w:hAnsi="Calibri" w:eastAsia="Microsoft YaHei"/>
                <w:color w:val="25211D"/>
                <w:sz w:val="19"/>
              </w:rPr>
              <w:t>使用可能 / 有望与 may / could，明确这部分是机制判断而非已验证结果。</w:t>
            </w:r>
          </w:p>
        </w:tc>
      </w:tr>
      <w:tr>
        <w:trPr>
          <w:cantSplit/>
        </w:trPr>
        <w:tc>
          <w:tcPr>
            <w:tcW w:type="dxa" w:w="1500"/>
            <w:tcMar>
              <w:top w:w="100" w:type="dxa"/>
              <w:start w:w="120" w:type="dxa"/>
              <w:bottom w:w="100" w:type="dxa"/>
              <w:end w:w="120" w:type="dxa"/>
            </w:tcMar>
            <w:vAlign w:val="center"/>
            <w:shd w:fill="EAF2F8"/>
          </w:tcPr>
          <w:p>
            <w:pPr>
              <w:spacing w:after="0"/>
            </w:pPr>
            <w:r>
              <w:rPr>
                <w:rFonts w:ascii="Calibri" w:hAnsi="Calibri" w:eastAsia="Microsoft YaHei"/>
                <w:b/>
                <w:color w:val="2E74B5"/>
                <w:sz w:val="18"/>
              </w:rPr>
              <w:t>术语</w:t>
            </w:r>
          </w:p>
        </w:tc>
        <w:tc>
          <w:tcPr>
            <w:tcW w:type="dxa" w:w="7860"/>
            <w:tcMar>
              <w:top w:w="100" w:type="dxa"/>
              <w:start w:w="120" w:type="dxa"/>
              <w:bottom w:w="100" w:type="dxa"/>
              <w:end w:w="120" w:type="dxa"/>
            </w:tcMar>
            <w:vAlign w:val="center"/>
            <w:shd w:fill="EAF2F8"/>
          </w:tcPr>
          <w:p>
            <w:pPr>
              <w:spacing w:after="0"/>
            </w:pPr>
            <w:r>
              <w:rPr>
                <w:rFonts w:ascii="Calibri" w:hAnsi="Calibri" w:eastAsia="Microsoft YaHei"/>
                <w:color w:val="25211D"/>
                <w:sz w:val="19"/>
              </w:rPr>
              <w:t>集聚溢出效应采用 economic agglomeration and spillover effects。</w:t>
            </w:r>
          </w:p>
        </w:tc>
      </w:tr>
    </w:tbl>
    <w:p>
      <w:pPr>
        <w:pStyle w:val="Heading1"/>
      </w:pPr>
      <w:r>
        <w:t>03 交付前检查</w:t>
      </w:r>
    </w:p>
    <w:tbl>
      <w:tblPr>
        <w:tblW w:type="dxa" w:w="9360"/>
        <w:tblLayout w:type="fixed"/>
        <w:tblLook w:firstColumn="1" w:firstRow="1" w:lastColumn="0" w:lastRow="0" w:noHBand="0" w:noVBand="1" w:val="04A0"/>
        <w:jc w:val="left"/>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2880"/>
        <w:gridCol w:w="1440"/>
        <w:gridCol w:w="5040"/>
      </w:tblGrid>
      <w:tr>
        <w:tc>
          <w:tcPr>
            <w:tcW w:type="dxa" w:w="2880"/>
            <w:tcMar>
              <w:top w:w="100" w:type="dxa"/>
              <w:start w:w="120" w:type="dxa"/>
              <w:bottom w:w="100" w:type="dxa"/>
              <w:end w:w="120" w:type="dxa"/>
            </w:tcMar>
            <w:vAlign w:val="center"/>
            <w:shd w:fill="17324D"/>
          </w:tcPr>
          <w:p>
            <w:pPr>
              <w:spacing w:after="0"/>
            </w:pPr>
            <w:r>
              <w:rPr>
                <w:rFonts w:ascii="Calibri" w:hAnsi="Calibri" w:eastAsia="Microsoft YaHei"/>
                <w:b/>
                <w:color w:val="FFFFFF"/>
                <w:sz w:val="19"/>
              </w:rPr>
              <w:t>检查项</w:t>
            </w:r>
          </w:p>
        </w:tc>
        <w:tc>
          <w:tcPr>
            <w:tcW w:type="dxa" w:w="1440"/>
            <w:tcMar>
              <w:top w:w="100" w:type="dxa"/>
              <w:start w:w="120" w:type="dxa"/>
              <w:bottom w:w="100" w:type="dxa"/>
              <w:end w:w="120" w:type="dxa"/>
            </w:tcMar>
            <w:vAlign w:val="center"/>
            <w:shd w:fill="17324D"/>
          </w:tcPr>
          <w:p>
            <w:pPr>
              <w:spacing w:after="0"/>
            </w:pPr>
            <w:r>
              <w:rPr>
                <w:rFonts w:ascii="Calibri" w:hAnsi="Calibri" w:eastAsia="Microsoft YaHei"/>
                <w:b/>
                <w:color w:val="FFFFFF"/>
                <w:sz w:val="19"/>
              </w:rPr>
              <w:t>状态</w:t>
            </w:r>
          </w:p>
        </w:tc>
        <w:tc>
          <w:tcPr>
            <w:tcW w:type="dxa" w:w="5040"/>
            <w:tcMar>
              <w:top w:w="100" w:type="dxa"/>
              <w:start w:w="120" w:type="dxa"/>
              <w:bottom w:w="100" w:type="dxa"/>
              <w:end w:w="120" w:type="dxa"/>
            </w:tcMar>
            <w:vAlign w:val="center"/>
            <w:shd w:fill="17324D"/>
          </w:tcPr>
          <w:p>
            <w:pPr>
              <w:spacing w:after="0"/>
            </w:pPr>
            <w:r>
              <w:rPr>
                <w:rFonts w:ascii="Calibri" w:hAnsi="Calibri" w:eastAsia="Microsoft YaHei"/>
                <w:b/>
                <w:color w:val="FFFFFF"/>
                <w:sz w:val="19"/>
              </w:rPr>
              <w:t>本稿处理</w:t>
            </w:r>
          </w:p>
        </w:tc>
      </w:tr>
      <w:tr>
        <w:tc>
          <w:tcPr>
            <w:tcW w:type="dxa" w:w="2880"/>
            <w:shd w:fill="FAF7F1"/>
            <w:tcMar>
              <w:top w:w="100" w:type="dxa"/>
              <w:start w:w="120" w:type="dxa"/>
              <w:bottom w:w="100" w:type="dxa"/>
              <w:end w:w="120" w:type="dxa"/>
            </w:tcMar>
            <w:vAlign w:val="center"/>
          </w:tcPr>
          <w:p>
            <w:pPr>
              <w:spacing w:after="0"/>
            </w:pPr>
            <w:r>
              <w:rPr>
                <w:rFonts w:ascii="Calibri" w:hAnsi="Calibri" w:eastAsia="Microsoft YaHei"/>
                <w:b w:val="0"/>
                <w:color w:val="25211D"/>
                <w:sz w:val="19"/>
              </w:rPr>
              <w:t>专名与缩写统一</w:t>
            </w:r>
          </w:p>
        </w:tc>
        <w:tc>
          <w:tcPr>
            <w:tcW w:type="dxa" w:w="1440"/>
            <w:shd w:fill="FAF7F1"/>
            <w:tcMar>
              <w:top w:w="100" w:type="dxa"/>
              <w:start w:w="120" w:type="dxa"/>
              <w:bottom w:w="100" w:type="dxa"/>
              <w:end w:w="120" w:type="dxa"/>
            </w:tcMar>
            <w:vAlign w:val="center"/>
          </w:tcPr>
          <w:p>
            <w:pPr>
              <w:spacing w:after="0"/>
            </w:pPr>
            <w:r>
              <w:rPr>
                <w:rFonts w:ascii="Calibri" w:hAnsi="Calibri" w:eastAsia="Microsoft YaHei"/>
                <w:b/>
                <w:color w:val="3D6B55"/>
                <w:sz w:val="19"/>
              </w:rPr>
              <w:t>完成</w:t>
            </w:r>
          </w:p>
        </w:tc>
        <w:tc>
          <w:tcPr>
            <w:tcW w:type="dxa" w:w="5040"/>
            <w:shd w:fill="FAF7F1"/>
            <w:tcMar>
              <w:top w:w="100" w:type="dxa"/>
              <w:start w:w="120" w:type="dxa"/>
              <w:bottom w:w="100" w:type="dxa"/>
              <w:end w:w="120" w:type="dxa"/>
            </w:tcMar>
            <w:vAlign w:val="center"/>
          </w:tcPr>
          <w:p>
            <w:pPr>
              <w:spacing w:after="0"/>
            </w:pPr>
            <w:r>
              <w:rPr>
                <w:rFonts w:ascii="Calibri" w:hAnsi="Calibri" w:eastAsia="Microsoft YaHei"/>
                <w:b w:val="0"/>
                <w:color w:val="25211D"/>
                <w:sz w:val="19"/>
              </w:rPr>
              <w:t>首次出现给出全称，后续使用统一简称。</w:t>
            </w:r>
          </w:p>
        </w:tc>
      </w:tr>
      <w:tr>
        <w:tc>
          <w:tcPr>
            <w:tcW w:type="dxa" w:w="2880"/>
            <w:shd w:fill="FFFFFF"/>
            <w:tcMar>
              <w:top w:w="100" w:type="dxa"/>
              <w:start w:w="120" w:type="dxa"/>
              <w:bottom w:w="100" w:type="dxa"/>
              <w:end w:w="120" w:type="dxa"/>
            </w:tcMar>
            <w:vAlign w:val="center"/>
          </w:tcPr>
          <w:p>
            <w:pPr>
              <w:spacing w:after="0"/>
            </w:pPr>
            <w:r>
              <w:rPr>
                <w:rFonts w:ascii="Calibri" w:hAnsi="Calibri" w:eastAsia="Microsoft YaHei"/>
                <w:b w:val="0"/>
                <w:color w:val="25211D"/>
                <w:sz w:val="19"/>
              </w:rPr>
              <w:t>数字与单位格式</w:t>
            </w:r>
          </w:p>
        </w:tc>
        <w:tc>
          <w:tcPr>
            <w:tcW w:type="dxa" w:w="1440"/>
            <w:shd w:fill="FFFFFF"/>
            <w:tcMar>
              <w:top w:w="100" w:type="dxa"/>
              <w:start w:w="120" w:type="dxa"/>
              <w:bottom w:w="100" w:type="dxa"/>
              <w:end w:w="120" w:type="dxa"/>
            </w:tcMar>
            <w:vAlign w:val="center"/>
          </w:tcPr>
          <w:p>
            <w:pPr>
              <w:spacing w:after="0"/>
            </w:pPr>
            <w:r>
              <w:rPr>
                <w:rFonts w:ascii="Calibri" w:hAnsi="Calibri" w:eastAsia="Microsoft YaHei"/>
                <w:b/>
                <w:color w:val="3D6B55"/>
                <w:sz w:val="19"/>
              </w:rPr>
              <w:t>完成</w:t>
            </w:r>
          </w:p>
        </w:tc>
        <w:tc>
          <w:tcPr>
            <w:tcW w:type="dxa" w:w="5040"/>
            <w:shd w:fill="FFFFFF"/>
            <w:tcMar>
              <w:top w:w="100" w:type="dxa"/>
              <w:start w:w="120" w:type="dxa"/>
              <w:bottom w:w="100" w:type="dxa"/>
              <w:end w:w="120" w:type="dxa"/>
            </w:tcMar>
            <w:vAlign w:val="center"/>
          </w:tcPr>
          <w:p>
            <w:pPr>
              <w:spacing w:after="0"/>
            </w:pPr>
            <w:r>
              <w:rPr>
                <w:rFonts w:ascii="Calibri" w:hAnsi="Calibri" w:eastAsia="Microsoft YaHei"/>
                <w:b w:val="0"/>
                <w:color w:val="25211D"/>
                <w:sz w:val="19"/>
              </w:rPr>
              <w:t>日期、货币、里程、速度和倍数表达统一。</w:t>
            </w:r>
          </w:p>
        </w:tc>
      </w:tr>
      <w:tr>
        <w:tc>
          <w:tcPr>
            <w:tcW w:type="dxa" w:w="2880"/>
            <w:shd w:fill="FAF7F1"/>
            <w:tcMar>
              <w:top w:w="100" w:type="dxa"/>
              <w:start w:w="120" w:type="dxa"/>
              <w:bottom w:w="100" w:type="dxa"/>
              <w:end w:w="120" w:type="dxa"/>
            </w:tcMar>
            <w:vAlign w:val="center"/>
          </w:tcPr>
          <w:p>
            <w:pPr>
              <w:spacing w:after="0"/>
            </w:pPr>
            <w:r>
              <w:rPr>
                <w:rFonts w:ascii="Calibri" w:hAnsi="Calibri" w:eastAsia="Microsoft YaHei"/>
                <w:b w:val="0"/>
                <w:color w:val="25211D"/>
                <w:sz w:val="19"/>
              </w:rPr>
              <w:t>中英文标点与空格</w:t>
            </w:r>
          </w:p>
        </w:tc>
        <w:tc>
          <w:tcPr>
            <w:tcW w:type="dxa" w:w="1440"/>
            <w:shd w:fill="FAF7F1"/>
            <w:tcMar>
              <w:top w:w="100" w:type="dxa"/>
              <w:start w:w="120" w:type="dxa"/>
              <w:bottom w:w="100" w:type="dxa"/>
              <w:end w:w="120" w:type="dxa"/>
            </w:tcMar>
            <w:vAlign w:val="center"/>
          </w:tcPr>
          <w:p>
            <w:pPr>
              <w:spacing w:after="0"/>
            </w:pPr>
            <w:r>
              <w:rPr>
                <w:rFonts w:ascii="Calibri" w:hAnsi="Calibri" w:eastAsia="Microsoft YaHei"/>
                <w:b/>
                <w:color w:val="3D6B55"/>
                <w:sz w:val="19"/>
              </w:rPr>
              <w:t>完成</w:t>
            </w:r>
          </w:p>
        </w:tc>
        <w:tc>
          <w:tcPr>
            <w:tcW w:type="dxa" w:w="5040"/>
            <w:shd w:fill="FAF7F1"/>
            <w:tcMar>
              <w:top w:w="100" w:type="dxa"/>
              <w:start w:w="120" w:type="dxa"/>
              <w:bottom w:w="100" w:type="dxa"/>
              <w:end w:w="120" w:type="dxa"/>
            </w:tcMar>
            <w:vAlign w:val="center"/>
          </w:tcPr>
          <w:p>
            <w:pPr>
              <w:spacing w:after="0"/>
            </w:pPr>
            <w:r>
              <w:rPr>
                <w:rFonts w:ascii="Calibri" w:hAnsi="Calibri" w:eastAsia="Microsoft YaHei"/>
                <w:b w:val="0"/>
                <w:color w:val="25211D"/>
                <w:sz w:val="19"/>
              </w:rPr>
              <w:t>修复全角/半角混用、引号和断段问题。</w:t>
            </w:r>
          </w:p>
        </w:tc>
      </w:tr>
      <w:tr>
        <w:tc>
          <w:tcPr>
            <w:tcW w:type="dxa" w:w="2880"/>
            <w:shd w:fill="FFFFFF"/>
            <w:tcMar>
              <w:top w:w="100" w:type="dxa"/>
              <w:start w:w="120" w:type="dxa"/>
              <w:bottom w:w="100" w:type="dxa"/>
              <w:end w:w="120" w:type="dxa"/>
            </w:tcMar>
            <w:vAlign w:val="center"/>
          </w:tcPr>
          <w:p>
            <w:pPr>
              <w:spacing w:after="0"/>
            </w:pPr>
            <w:r>
              <w:rPr>
                <w:rFonts w:ascii="Calibri" w:hAnsi="Calibri" w:eastAsia="Microsoft YaHei"/>
                <w:b w:val="0"/>
                <w:color w:val="25211D"/>
                <w:sz w:val="19"/>
              </w:rPr>
              <w:t>受众与语气</w:t>
            </w:r>
          </w:p>
        </w:tc>
        <w:tc>
          <w:tcPr>
            <w:tcW w:type="dxa" w:w="1440"/>
            <w:shd w:fill="FFFFFF"/>
            <w:tcMar>
              <w:top w:w="100" w:type="dxa"/>
              <w:start w:w="120" w:type="dxa"/>
              <w:bottom w:w="100" w:type="dxa"/>
              <w:end w:w="120" w:type="dxa"/>
            </w:tcMar>
            <w:vAlign w:val="center"/>
          </w:tcPr>
          <w:p>
            <w:pPr>
              <w:spacing w:after="0"/>
            </w:pPr>
            <w:r>
              <w:rPr>
                <w:rFonts w:ascii="Calibri" w:hAnsi="Calibri" w:eastAsia="Microsoft YaHei"/>
                <w:b/>
                <w:color w:val="3D6B55"/>
                <w:sz w:val="19"/>
              </w:rPr>
              <w:t>完成</w:t>
            </w:r>
          </w:p>
        </w:tc>
        <w:tc>
          <w:tcPr>
            <w:tcW w:type="dxa" w:w="5040"/>
            <w:shd w:fill="FFFFFF"/>
            <w:tcMar>
              <w:top w:w="100" w:type="dxa"/>
              <w:start w:w="120" w:type="dxa"/>
              <w:bottom w:w="100" w:type="dxa"/>
              <w:end w:w="120" w:type="dxa"/>
            </w:tcMar>
            <w:vAlign w:val="center"/>
          </w:tcPr>
          <w:p>
            <w:pPr>
              <w:spacing w:after="0"/>
            </w:pPr>
            <w:r>
              <w:rPr>
                <w:rFonts w:ascii="Calibri" w:hAnsi="Calibri" w:eastAsia="Microsoft YaHei"/>
                <w:b w:val="0"/>
                <w:color w:val="25211D"/>
                <w:sz w:val="19"/>
              </w:rPr>
              <w:t>减少生硬直译，保留国际传播稿的清晰与克制。</w:t>
            </w:r>
          </w:p>
        </w:tc>
      </w:tr>
      <w:tr>
        <w:tc>
          <w:tcPr>
            <w:tcW w:type="dxa" w:w="2880"/>
            <w:shd w:fill="FAF7F1"/>
            <w:tcMar>
              <w:top w:w="100" w:type="dxa"/>
              <w:start w:w="120" w:type="dxa"/>
              <w:bottom w:w="100" w:type="dxa"/>
              <w:end w:w="120" w:type="dxa"/>
            </w:tcMar>
            <w:vAlign w:val="center"/>
          </w:tcPr>
          <w:p>
            <w:pPr>
              <w:spacing w:after="0"/>
            </w:pPr>
            <w:r>
              <w:rPr>
                <w:rFonts w:ascii="Calibri" w:hAnsi="Calibri" w:eastAsia="Microsoft YaHei"/>
                <w:b w:val="0"/>
                <w:color w:val="25211D"/>
                <w:sz w:val="19"/>
              </w:rPr>
              <w:t>事实核验提示</w:t>
            </w:r>
          </w:p>
        </w:tc>
        <w:tc>
          <w:tcPr>
            <w:tcW w:type="dxa" w:w="1440"/>
            <w:shd w:fill="FAF7F1"/>
            <w:tcMar>
              <w:top w:w="100" w:type="dxa"/>
              <w:start w:w="120" w:type="dxa"/>
              <w:bottom w:w="100" w:type="dxa"/>
              <w:end w:w="120" w:type="dxa"/>
            </w:tcMar>
            <w:vAlign w:val="center"/>
          </w:tcPr>
          <w:p>
            <w:pPr>
              <w:spacing w:after="0"/>
            </w:pPr>
            <w:r>
              <w:rPr>
                <w:rFonts w:ascii="Calibri" w:hAnsi="Calibri" w:eastAsia="Microsoft YaHei"/>
                <w:b/>
                <w:color w:val="3D6B55"/>
                <w:sz w:val="19"/>
              </w:rPr>
              <w:t>完成</w:t>
            </w:r>
          </w:p>
        </w:tc>
        <w:tc>
          <w:tcPr>
            <w:tcW w:type="dxa" w:w="5040"/>
            <w:shd w:fill="FAF7F1"/>
            <w:tcMar>
              <w:top w:w="100" w:type="dxa"/>
              <w:start w:w="120" w:type="dxa"/>
              <w:bottom w:w="100" w:type="dxa"/>
              <w:end w:w="120" w:type="dxa"/>
            </w:tcMar>
            <w:vAlign w:val="center"/>
          </w:tcPr>
          <w:p>
            <w:pPr>
              <w:spacing w:after="0"/>
            </w:pPr>
            <w:r>
              <w:rPr>
                <w:rFonts w:ascii="Calibri" w:hAnsi="Calibri" w:eastAsia="Microsoft YaHei"/>
                <w:b w:val="0"/>
                <w:color w:val="25211D"/>
                <w:sz w:val="19"/>
              </w:rPr>
              <w:t>对时间敏感或来源依赖数据保留显式复核提醒。</w:t>
            </w:r>
          </w:p>
        </w:tc>
      </w:tr>
    </w:tbl>
    <w:p>
      <w:pPr>
        <w:pStyle w:val="Heading1"/>
      </w:pPr>
      <w:r>
        <w:t>04 编辑复盘</w:t>
      </w:r>
    </w:p>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9360"/>
      </w:tblGrid>
      <w:tr>
        <w:tc>
          <w:tcPr>
            <w:tcW w:type="dxa" w:w="9360"/>
            <w:tcMar>
              <w:top w:w="100" w:type="dxa"/>
              <w:start w:w="120" w:type="dxa"/>
              <w:bottom w:w="100" w:type="dxa"/>
              <w:end w:w="120" w:type="dxa"/>
            </w:tcMar>
            <w:vAlign w:val="center"/>
            <w:shd w:fill="FCEBEC"/>
          </w:tcPr>
          <w:p>
            <w:pPr>
              <w:spacing w:after="60"/>
            </w:pPr>
            <w:r>
              <w:rPr>
                <w:rFonts w:ascii="Calibri" w:hAnsi="Calibri" w:eastAsia="Microsoft YaHei"/>
                <w:b/>
                <w:color w:val="9B1C1C"/>
                <w:sz w:val="20"/>
              </w:rPr>
              <w:t xml:space="preserve">标题校准  </w:t>
            </w:r>
            <w:r>
              <w:rPr>
                <w:rFonts w:ascii="Calibri" w:hAnsi="Calibri" w:eastAsia="Microsoft YaHei"/>
                <w:color w:val="25211D"/>
                <w:sz w:val="21"/>
              </w:rPr>
              <w:t>保留原文件名用于追溯，但在交付稿内明确正文主题，避免读者把“卡车”误判为交通工具研究。</w:t>
            </w:r>
          </w:p>
        </w:tc>
      </w:tr>
    </w:tbl>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9360"/>
      </w:tblGrid>
      <w:tr>
        <w:tc>
          <w:tcPr>
            <w:tcW w:type="dxa" w:w="9360"/>
            <w:tcMar>
              <w:top w:w="100" w:type="dxa"/>
              <w:start w:w="120" w:type="dxa"/>
              <w:bottom w:w="100" w:type="dxa"/>
              <w:end w:w="120" w:type="dxa"/>
            </w:tcMar>
            <w:vAlign w:val="center"/>
            <w:shd w:fill="FFF3D6"/>
          </w:tcPr>
          <w:p>
            <w:pPr>
              <w:spacing w:after="60"/>
            </w:pPr>
            <w:r>
              <w:rPr>
                <w:rFonts w:ascii="Calibri" w:hAnsi="Calibri" w:eastAsia="Microsoft YaHei"/>
                <w:b/>
                <w:color w:val="A36B00"/>
                <w:sz w:val="20"/>
              </w:rPr>
              <w:t xml:space="preserve">事实边界  </w:t>
            </w:r>
            <w:r>
              <w:rPr>
                <w:rFonts w:ascii="Calibri" w:hAnsi="Calibri" w:eastAsia="Microsoft YaHei"/>
                <w:color w:val="25211D"/>
                <w:sz w:val="21"/>
              </w:rPr>
              <w:t>对存在口径疑问的 0.7% 数据不强行沿用，改为风险批注并要求回查来源。</w:t>
            </w:r>
          </w:p>
        </w:tc>
      </w:tr>
    </w:tbl>
    <w:tbl>
      <w:tblPr>
        <w:tblW w:type="dxa" w:w="9360"/>
        <w:jc w:val="left"/>
        <w:tblLayout w:type="fixed"/>
        <w:tblLook w:firstColumn="1" w:firstRow="1" w:lastColumn="0" w:lastRow="0" w:noHBand="0" w:noVBand="1" w:val="04A0"/>
        <w:tblInd w:w="120" w:type="dxa"/>
        <w:tblBorders>
          <w:top w:val="single" w:sz="6" w:space="0" w:color="D8D3CA"/>
          <w:left w:val="single" w:sz="6" w:space="0" w:color="D8D3CA"/>
          <w:bottom w:val="single" w:sz="6" w:space="0" w:color="D8D3CA"/>
          <w:right w:val="single" w:sz="6" w:space="0" w:color="D8D3CA"/>
          <w:insideH w:val="single" w:sz="6" w:space="0" w:color="D8D3CA"/>
          <w:insideV w:val="single" w:sz="6" w:space="0" w:color="D8D3CA"/>
        </w:tblBorders>
      </w:tblPr>
      <w:tblGrid>
        <w:gridCol w:w="9360"/>
      </w:tblGrid>
      <w:tr>
        <w:tc>
          <w:tcPr>
            <w:tcW w:type="dxa" w:w="9360"/>
            <w:tcMar>
              <w:top w:w="100" w:type="dxa"/>
              <w:start w:w="120" w:type="dxa"/>
              <w:bottom w:w="100" w:type="dxa"/>
              <w:end w:w="120" w:type="dxa"/>
            </w:tcMar>
            <w:vAlign w:val="center"/>
            <w:shd w:fill="EAF4EE"/>
          </w:tcPr>
          <w:p>
            <w:pPr>
              <w:spacing w:after="60"/>
            </w:pPr>
            <w:r>
              <w:rPr>
                <w:rFonts w:ascii="Calibri" w:hAnsi="Calibri" w:eastAsia="Microsoft YaHei"/>
                <w:b/>
                <w:color w:val="3D6B55"/>
                <w:sz w:val="20"/>
              </w:rPr>
              <w:t xml:space="preserve">逻辑重组  </w:t>
            </w:r>
            <w:r>
              <w:rPr>
                <w:rFonts w:ascii="Calibri" w:hAnsi="Calibri" w:eastAsia="Microsoft YaHei"/>
                <w:color w:val="25211D"/>
                <w:sz w:val="21"/>
              </w:rPr>
              <w:t>把材料重组为人口与交通基础—效率提升—产业链—区域外溢，形成可阅读的经济机制链。</w:t>
            </w:r>
          </w:p>
        </w:tc>
      </w:tr>
    </w:tbl>
    <w:p>
      <w:pPr>
        <w:spacing w:before="160" w:after="0"/>
      </w:pPr>
      <w:r>
        <w:rPr>
          <w:rFonts w:ascii="Calibri" w:hAnsi="Calibri" w:eastAsia="Microsoft YaHei"/>
          <w:i/>
          <w:color w:val="6F6A62"/>
          <w:sz w:val="18"/>
        </w:rPr>
        <w:t>说明：本文件用于展示编译、审校与交付方法。涉及日期、数字与机构口径的信息，应在正式发布前回到委托方最终源稿或权威出处复核。</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Microsoft YaHei"/>
        <w:color w:val="6F6A62"/>
        <w:sz w:val="17"/>
      </w:rPr>
      <w:t xml:space="preserve">PORTFOLIO REVIEW COPY  ·  </w:t>
    </w:r>
    <w:r>
      <w:rPr>
        <w:rFonts w:ascii="Calibri" w:hAnsi="Calibri" w:eastAsia="Microsoft YaHei"/>
        <w:color w:val="6F6A62"/>
        <w:sz w:val="17"/>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eastAsia="Microsoft YaHei"/>
        <w:b/>
        <w:color w:val="6F6A62"/>
        <w:sz w:val="16"/>
      </w:rPr>
      <w:t>CHINA INTERNATIONAL COMMUNICATIONS GROUP  /  JAKARTA–BANDUNG HSR: AN ECONOMIC LINK AND INDUSTRIAL CATALYST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eastAsia="Microsoft YaHei"/>
      <w:color w:val="25211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