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60"/>
      </w:pPr>
      <w:r>
        <w:rPr>
          <w:rFonts w:ascii="Calibri" w:hAnsi="Calibri" w:eastAsia="Microsoft YaHei"/>
          <w:b/>
          <w:color w:val="A36B00"/>
          <w:sz w:val="19"/>
        </w:rPr>
        <w:t>TRANSLATION DELIVERY &amp; QA FILE</w:t>
      </w:r>
    </w:p>
    <w:p>
      <w:pPr>
        <w:spacing w:after="100"/>
      </w:pPr>
      <w:r>
        <w:rPr>
          <w:rFonts w:ascii="Calibri" w:hAnsi="Calibri" w:eastAsia="Microsoft YaHei"/>
          <w:b/>
          <w:color w:val="17324D"/>
          <w:sz w:val="54"/>
        </w:rPr>
        <w:t>入境便利化与快捷支付</w:t>
      </w:r>
    </w:p>
    <w:p>
      <w:pPr>
        <w:spacing w:after="360"/>
      </w:pPr>
      <w:r>
        <w:rPr>
          <w:rFonts w:ascii="Calibri" w:hAnsi="Calibri" w:eastAsia="Microsoft YaHei"/>
          <w:i/>
          <w:color w:val="1F4D78"/>
          <w:sz w:val="28"/>
        </w:rPr>
        <w:t>Inbound Travel Facilitation &amp; Payment Access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2160"/>
        <w:gridCol w:w="7200"/>
      </w:tblGrid>
      <w:t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交付类型</w:t>
            </w:r>
          </w:p>
        </w:tc>
        <w:tc>
          <w:tcPr>
            <w:tcW w:type="dxa" w:w="7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21"/>
              </w:rPr>
              <w:t>中英编译 · 术语统一 · 表达优化 · 事实核验提示</w:t>
            </w:r>
          </w:p>
        </w:tc>
      </w:tr>
      <w:t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主题领域</w:t>
            </w:r>
          </w:p>
        </w:tc>
        <w:tc>
          <w:tcPr>
            <w:tcW w:type="dxa" w:w="7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21"/>
              </w:rPr>
              <w:t>入境旅游 · 移动支付 · 公共服务</w:t>
            </w:r>
          </w:p>
        </w:tc>
      </w:tr>
      <w:t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语言方向</w:t>
            </w:r>
          </w:p>
        </w:tc>
        <w:tc>
          <w:tcPr>
            <w:tcW w:type="dxa" w:w="7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21"/>
              </w:rPr>
              <w:t>CN → EN</w:t>
            </w:r>
          </w:p>
        </w:tc>
      </w:tr>
      <w:t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编辑状态</w:t>
            </w:r>
          </w:p>
        </w:tc>
        <w:tc>
          <w:tcPr>
            <w:tcW w:type="dxa" w:w="7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21"/>
              </w:rPr>
              <w:t>Portfolio Review Copy / 已完成结构化审校</w:t>
            </w:r>
          </w:p>
        </w:tc>
      </w:tr>
      <w:t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译者 / 编辑</w:t>
            </w:r>
          </w:p>
        </w:tc>
        <w:tc>
          <w:tcPr>
            <w:tcW w:type="dxa" w:w="7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21"/>
              </w:rPr>
              <w:t>李睿泽 Griffin · 中国外文局亚太传播中心实习期间</w:t>
            </w:r>
          </w:p>
        </w:tc>
      </w:tr>
    </w:tbl>
    <w:p/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2E74B5"/>
                <w:sz w:val="20"/>
              </w:rPr>
              <w:t xml:space="preserve">编辑说明  </w:t>
            </w:r>
            <w:r>
              <w:rPr>
                <w:rFonts w:ascii="Calibri" w:hAnsi="Calibri" w:eastAsia="Microsoft YaHei"/>
                <w:color w:val="25211D"/>
                <w:sz w:val="21"/>
              </w:rPr>
              <w:t>本稿将政策数字、支付方式与用户旅程拆开处理：先保证事实边界，再统一 payment / visa / inbound traveler 等术语，最后将中文长句重组为英语读者更容易理解的因果链。</w:t>
            </w:r>
          </w:p>
        </w:tc>
      </w:tr>
    </w:tbl>
    <w:p>
      <w:pPr>
        <w:pStyle w:val="Heading2"/>
      </w:pPr>
      <w:r>
        <w:t>批注颜色说明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40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0"/>
              </w:rPr>
              <w:t>术语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color w:val="6F6A62"/>
                <w:sz w:val="17"/>
              </w:rPr>
              <w:t>专名与统一口径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3D6"/>
          </w:tcPr>
          <w:p>
            <w:pPr>
              <w:spacing w:after="40"/>
              <w:jc w:val="center"/>
            </w:pPr>
            <w:r>
              <w:rPr>
                <w:rFonts w:ascii="Calibri" w:hAnsi="Calibri" w:eastAsia="Microsoft YaHei"/>
                <w:b/>
                <w:color w:val="A36B00"/>
                <w:sz w:val="20"/>
              </w:rPr>
              <w:t>事实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color w:val="6F6A62"/>
                <w:sz w:val="17"/>
              </w:rPr>
              <w:t>日期、数字与来源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40"/>
              <w:jc w:val="center"/>
            </w:pPr>
            <w:r>
              <w:rPr>
                <w:rFonts w:ascii="Calibri" w:hAnsi="Calibri" w:eastAsia="Microsoft YaHei"/>
                <w:b/>
                <w:color w:val="3D6B55"/>
                <w:sz w:val="20"/>
              </w:rPr>
              <w:t>表达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color w:val="6F6A62"/>
                <w:sz w:val="17"/>
              </w:rPr>
              <w:t>语序、语气与受众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CEBEC"/>
          </w:tcPr>
          <w:p>
            <w:pPr>
              <w:spacing w:after="40"/>
              <w:jc w:val="center"/>
            </w:pPr>
            <w:r>
              <w:rPr>
                <w:rFonts w:ascii="Calibri" w:hAnsi="Calibri" w:eastAsia="Microsoft YaHei"/>
                <w:b/>
                <w:color w:val="9B1C1C"/>
                <w:sz w:val="20"/>
              </w:rPr>
              <w:t>风险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color w:val="6F6A62"/>
                <w:sz w:val="17"/>
              </w:rPr>
              <w:t>需复核或已修正</w:t>
            </w:r>
          </w:p>
        </w:tc>
      </w:tr>
    </w:tbl>
    <w:p>
      <w:r>
        <w:br w:type="page"/>
      </w:r>
    </w:p>
    <w:p>
      <w:pPr>
        <w:pStyle w:val="Heading1"/>
      </w:pPr>
      <w:r>
        <w:t>01 术语与口径</w:t>
      </w:r>
    </w:p>
    <w:p>
      <w:pPr>
        <w:spacing w:after="160"/>
      </w:pPr>
      <w:r>
        <w:t>先统一专名、机构称谓和高频表达，再进入逐段翻译。以下词表用于保证同一文件内口径一致。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2520"/>
        <w:gridCol w:w="3420"/>
        <w:gridCol w:w="3420"/>
      </w:tblGrid>
      <w:t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中文 / 概念</w:t>
            </w:r>
          </w:p>
        </w:tc>
        <w:tc>
          <w:tcPr>
            <w:tcW w:type="dxa" w:w="34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Preferred English</w:t>
            </w:r>
          </w:p>
        </w:tc>
        <w:tc>
          <w:tcPr>
            <w:tcW w:type="dxa" w:w="34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编辑备注</w:t>
            </w:r>
          </w:p>
        </w:tc>
      </w:tr>
      <w:tr>
        <w:tc>
          <w:tcPr>
            <w:tcW w:type="dxa" w:w="25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互免签证协定</w:t>
            </w:r>
          </w:p>
        </w:tc>
        <w:tc>
          <w:tcPr>
            <w:tcW w:type="dxa" w:w="34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visa-waiver agreement</w:t>
            </w:r>
          </w:p>
        </w:tc>
        <w:tc>
          <w:tcPr>
            <w:tcW w:type="dxa" w:w="34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强调双边安排，不使用 visa-free policy 一概而论。</w:t>
            </w:r>
          </w:p>
        </w:tc>
      </w:tr>
      <w:tr>
        <w:tc>
          <w:tcPr>
            <w:tcW w:type="dxa" w:w="25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入境便利化措施</w:t>
            </w:r>
          </w:p>
        </w:tc>
        <w:tc>
          <w:tcPr>
            <w:tcW w:type="dxa" w:w="34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inbound travel facilitation measures</w:t>
            </w:r>
          </w:p>
        </w:tc>
        <w:tc>
          <w:tcPr>
            <w:tcW w:type="dxa" w:w="34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比 convenience measures 更符合政策语境。</w:t>
            </w:r>
          </w:p>
        </w:tc>
      </w:tr>
      <w:tr>
        <w:tc>
          <w:tcPr>
            <w:tcW w:type="dxa" w:w="25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二维码支付</w:t>
            </w:r>
          </w:p>
        </w:tc>
        <w:tc>
          <w:tcPr>
            <w:tcW w:type="dxa" w:w="34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QR code payment</w:t>
            </w:r>
          </w:p>
        </w:tc>
        <w:tc>
          <w:tcPr>
            <w:tcW w:type="dxa" w:w="34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首次出现写全，后文可使用 QR payment。</w:t>
            </w:r>
          </w:p>
        </w:tc>
      </w:tr>
      <w:tr>
        <w:tc>
          <w:tcPr>
            <w:tcW w:type="dxa" w:w="25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大额刷卡、小额扫码、现金兜底</w:t>
            </w:r>
          </w:p>
        </w:tc>
        <w:tc>
          <w:tcPr>
            <w:tcW w:type="dxa" w:w="34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cards for large payments, QR codes for small payments, and cash as a fallback</w:t>
            </w:r>
          </w:p>
        </w:tc>
        <w:tc>
          <w:tcPr>
            <w:tcW w:type="dxa" w:w="34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保留三段式政策逻辑。</w:t>
            </w:r>
          </w:p>
        </w:tc>
      </w:tr>
      <w:tr>
        <w:tc>
          <w:tcPr>
            <w:tcW w:type="dxa" w:w="25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境外人士</w:t>
            </w:r>
          </w:p>
        </w:tc>
        <w:tc>
          <w:tcPr>
            <w:tcW w:type="dxa" w:w="34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international visitors / inbound travelers</w:t>
            </w:r>
          </w:p>
        </w:tc>
        <w:tc>
          <w:tcPr>
            <w:tcW w:type="dxa" w:w="34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按语境选择，避免 foreigner 的生硬感。</w:t>
            </w:r>
          </w:p>
        </w:tc>
      </w:tr>
    </w:tbl>
    <w:p>
      <w:pPr>
        <w:pStyle w:val="Heading1"/>
      </w:pPr>
      <w:r>
        <w:t>02 双语编译与逐段批注</w:t>
      </w:r>
    </w:p>
    <w:p>
      <w:pPr>
        <w:spacing w:after="160"/>
      </w:pPr>
      <w:r>
        <w:t>每段保留双语对照，并用可见批注说明术语选择、事实边界、表达优化与风险修正。彩色文字用于提示关键专名、数字或结构性表达，不代表原稿修订痕迹。</w:t>
      </w:r>
    </w:p>
    <w:p>
      <w:pPr>
        <w:pStyle w:val="Heading3"/>
      </w:pPr>
      <w:r>
        <w:t>P01  政策背景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中文整理稿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English Translation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 xml:space="preserve">截至 </w:t>
            </w:r>
            <w:r>
              <w:rPr>
                <w:rFonts w:ascii="Calibri" w:hAnsi="Calibri" w:eastAsia="Microsoft YaHei"/>
                <w:b/>
                <w:color w:val="A36B00"/>
              </w:rPr>
              <w:t>2024 年 1 月 31 日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，中国已与 </w:t>
            </w:r>
            <w:r>
              <w:rPr>
                <w:rFonts w:ascii="Calibri" w:hAnsi="Calibri" w:eastAsia="Microsoft YaHei"/>
                <w:b/>
                <w:color w:val="A36B00"/>
              </w:rPr>
              <w:t>157 个国家</w:t>
            </w:r>
            <w:r>
              <w:rPr>
                <w:rFonts w:ascii="Calibri" w:hAnsi="Calibri" w:eastAsia="Microsoft YaHei"/>
                <w:b w:val="0"/>
                <w:color w:val="25211D"/>
              </w:rPr>
              <w:t>缔结涵盖不同护照种类的</w:t>
            </w:r>
            <w:r>
              <w:rPr>
                <w:rFonts w:ascii="Calibri" w:hAnsi="Calibri" w:eastAsia="Microsoft YaHei"/>
                <w:b/>
                <w:color w:val="2E74B5"/>
              </w:rPr>
              <w:t>互免签证协定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，与 </w:t>
            </w:r>
            <w:r>
              <w:rPr>
                <w:rFonts w:ascii="Calibri" w:hAnsi="Calibri" w:eastAsia="Microsoft YaHei"/>
                <w:b/>
                <w:color w:val="A36B00"/>
              </w:rPr>
              <w:t>44 个国家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达成简化签证手续协定或安排，并同泰国、新加坡、马尔代夫、阿联酋等 </w:t>
            </w:r>
            <w:r>
              <w:rPr>
                <w:rFonts w:ascii="Calibri" w:hAnsi="Calibri" w:eastAsia="Microsoft YaHei"/>
                <w:b/>
                <w:color w:val="A36B00"/>
              </w:rPr>
              <w:t>23 个国家</w:t>
            </w:r>
            <w:r>
              <w:rPr>
                <w:rFonts w:ascii="Calibri" w:hAnsi="Calibri" w:eastAsia="Microsoft YaHei"/>
                <w:b w:val="0"/>
                <w:color w:val="25211D"/>
              </w:rPr>
              <w:t>实现全面互免签证。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 xml:space="preserve">As of </w:t>
            </w:r>
            <w:r>
              <w:rPr>
                <w:rFonts w:ascii="Calibri" w:hAnsi="Calibri" w:eastAsia="Microsoft YaHei"/>
                <w:b/>
                <w:color w:val="A36B00"/>
              </w:rPr>
              <w:t>January 31, 2024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, China had concluded </w:t>
            </w:r>
            <w:r>
              <w:rPr>
                <w:rFonts w:ascii="Calibri" w:hAnsi="Calibri" w:eastAsia="Microsoft YaHei"/>
                <w:b/>
                <w:color w:val="2E74B5"/>
              </w:rPr>
              <w:t>visa-waiver agreements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covering different passport categories with </w:t>
            </w:r>
            <w:r>
              <w:rPr>
                <w:rFonts w:ascii="Calibri" w:hAnsi="Calibri" w:eastAsia="Microsoft YaHei"/>
                <w:b/>
                <w:color w:val="A36B00"/>
              </w:rPr>
              <w:t>157 countries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, reached agreements or arrangements on simplified visa procedures with </w:t>
            </w:r>
            <w:r>
              <w:rPr>
                <w:rFonts w:ascii="Calibri" w:hAnsi="Calibri" w:eastAsia="Microsoft YaHei"/>
                <w:b/>
                <w:color w:val="A36B00"/>
              </w:rPr>
              <w:t>44 countries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, and established comprehensive mutual visa exemptions with </w:t>
            </w:r>
            <w:r>
              <w:rPr>
                <w:rFonts w:ascii="Calibri" w:hAnsi="Calibri" w:eastAsia="Microsoft YaHei"/>
                <w:b/>
                <w:color w:val="A36B00"/>
              </w:rPr>
              <w:t>23 countries</w:t>
            </w:r>
            <w:r>
              <w:rPr>
                <w:rFonts w:ascii="Calibri" w:hAnsi="Calibri" w:eastAsia="Microsoft YaHei"/>
                <w:b w:val="0"/>
                <w:color w:val="25211D"/>
              </w:rPr>
              <w:t>, including Thailand, Singapore, the Maldives and the United Arab Emirates.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1500"/>
        <w:gridCol w:w="7860"/>
      </w:tblGrid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3D6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A36B00"/>
                <w:sz w:val="18"/>
              </w:rPr>
              <w:t>事实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3D6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157 / 44 / 23 为时间截面数据，正式发布时需保留“截至 2024 年 1 月 31 日”的限定。</w:t>
            </w:r>
          </w:p>
        </w:tc>
      </w:tr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8"/>
              </w:rPr>
              <w:t>表达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用 covering different passport categories 解释“涵盖不同护照种类”，避免读者误读为统一免签。</w:t>
            </w:r>
          </w:p>
        </w:tc>
      </w:tr>
    </w:tbl>
    <w:p>
      <w:pPr>
        <w:pStyle w:val="Heading3"/>
      </w:pPr>
      <w:r>
        <w:t>P02  用户痛点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中文整理稿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English Translation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>免签政策利好持续释放，加之多项</w:t>
            </w:r>
            <w:r>
              <w:rPr>
                <w:rFonts w:ascii="Calibri" w:hAnsi="Calibri" w:eastAsia="Microsoft YaHei"/>
                <w:b/>
                <w:color w:val="2E74B5"/>
              </w:rPr>
              <w:t>入境便利化措施</w:t>
            </w:r>
            <w:r>
              <w:rPr>
                <w:rFonts w:ascii="Calibri" w:hAnsi="Calibri" w:eastAsia="Microsoft YaHei"/>
                <w:b w:val="0"/>
                <w:color w:val="25211D"/>
              </w:rPr>
              <w:t>，越来越多境外游客来到中国。中国境内移动支付普及率高，但部分</w:t>
            </w:r>
            <w:r>
              <w:rPr>
                <w:rFonts w:ascii="Calibri" w:hAnsi="Calibri" w:eastAsia="Microsoft YaHei"/>
                <w:b/>
                <w:color w:val="3D6B55"/>
              </w:rPr>
              <w:t>国际游客</w:t>
            </w:r>
            <w:r>
              <w:rPr>
                <w:rFonts w:ascii="Calibri" w:hAnsi="Calibri" w:eastAsia="Microsoft YaHei"/>
                <w:b w:val="0"/>
                <w:color w:val="25211D"/>
              </w:rPr>
              <w:t>对本地支付体系并不熟悉，常需他人协助完成付款。因此，进一步优化面向</w:t>
            </w:r>
            <w:r>
              <w:rPr>
                <w:rFonts w:ascii="Calibri" w:hAnsi="Calibri" w:eastAsia="Microsoft YaHei"/>
                <w:b/>
                <w:color w:val="3D6B55"/>
              </w:rPr>
              <w:t>国际游客</w:t>
            </w:r>
            <w:r>
              <w:rPr>
                <w:rFonts w:ascii="Calibri" w:hAnsi="Calibri" w:eastAsia="Microsoft YaHei"/>
                <w:b w:val="0"/>
                <w:color w:val="25211D"/>
              </w:rPr>
              <w:t>的</w:t>
            </w:r>
            <w:r>
              <w:rPr>
                <w:rFonts w:ascii="Calibri" w:hAnsi="Calibri" w:eastAsia="Microsoft YaHei"/>
                <w:b/>
                <w:color w:val="2E74B5"/>
              </w:rPr>
              <w:t>支付服务</w:t>
            </w:r>
            <w:r>
              <w:rPr>
                <w:rFonts w:ascii="Calibri" w:hAnsi="Calibri" w:eastAsia="Microsoft YaHei"/>
                <w:b w:val="0"/>
                <w:color w:val="25211D"/>
              </w:rPr>
              <w:t>已成为重要议题。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 xml:space="preserve">The continued impact of visa facilitation, together with new measures supporting </w:t>
            </w:r>
            <w:r>
              <w:rPr>
                <w:rFonts w:ascii="Calibri" w:hAnsi="Calibri" w:eastAsia="Microsoft YaHei"/>
                <w:b/>
                <w:color w:val="2E74B5"/>
              </w:rPr>
              <w:t>inbound travel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, is bringing more </w:t>
            </w:r>
            <w:r>
              <w:rPr>
                <w:rFonts w:ascii="Calibri" w:hAnsi="Calibri" w:eastAsia="Microsoft YaHei"/>
                <w:b/>
                <w:color w:val="3D6B55"/>
              </w:rPr>
              <w:t>international visitors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to China. Mobile payments are widely used nationwide, yet some visitors remain unfamiliar with local payment systems and may need assistance to complete everyday transactions. Improving </w:t>
            </w:r>
            <w:r>
              <w:rPr>
                <w:rFonts w:ascii="Calibri" w:hAnsi="Calibri" w:eastAsia="Microsoft YaHei"/>
                <w:b/>
                <w:color w:val="2E74B5"/>
              </w:rPr>
              <w:t>payment access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for international travelers has therefore become an important priority.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1500"/>
        <w:gridCol w:w="7860"/>
      </w:tblGrid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CEBEC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9B1C1C"/>
                <w:sz w:val="18"/>
              </w:rPr>
              <w:t>风险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CEBEC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原稿“并不了h”为明显输入错误，本稿修正为“并不熟悉”。</w:t>
            </w:r>
          </w:p>
        </w:tc>
      </w:tr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8"/>
              </w:rPr>
              <w:t>表达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将一个中文长句拆成三句，使政策背景、用户阻力和行动优先级更清楚。</w:t>
            </w:r>
          </w:p>
        </w:tc>
      </w:tr>
    </w:tbl>
    <w:p>
      <w:pPr>
        <w:pStyle w:val="Heading3"/>
      </w:pPr>
      <w:r>
        <w:t>P03  需求增长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中文整理稿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English Translation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A36B00"/>
              </w:rPr>
              <w:t>2024 年春节期间</w:t>
            </w:r>
            <w:r>
              <w:rPr>
                <w:rFonts w:ascii="Calibri" w:hAnsi="Calibri" w:eastAsia="Microsoft YaHei"/>
                <w:b w:val="0"/>
                <w:color w:val="25211D"/>
              </w:rPr>
              <w:t>，中国入境游订单同比增长</w:t>
            </w:r>
            <w:r>
              <w:rPr>
                <w:rFonts w:ascii="Calibri" w:hAnsi="Calibri" w:eastAsia="Microsoft YaHei"/>
                <w:b/>
                <w:color w:val="A36B00"/>
              </w:rPr>
              <w:t>超过 10 倍</w:t>
            </w:r>
            <w:r>
              <w:rPr>
                <w:rFonts w:ascii="Calibri" w:hAnsi="Calibri" w:eastAsia="Microsoft YaHei"/>
                <w:b w:val="0"/>
                <w:color w:val="25211D"/>
              </w:rPr>
              <w:t>，主要客源地包括日本、美国、韩国、马来西亚、德国和泰国。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 xml:space="preserve">During the </w:t>
            </w:r>
            <w:r>
              <w:rPr>
                <w:rFonts w:ascii="Calibri" w:hAnsi="Calibri" w:eastAsia="Microsoft YaHei"/>
                <w:b/>
                <w:color w:val="A36B00"/>
              </w:rPr>
              <w:t>2024 Spring Festival holiday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, inbound travel bookings to China increased </w:t>
            </w:r>
            <w:r>
              <w:rPr>
                <w:rFonts w:ascii="Calibri" w:hAnsi="Calibri" w:eastAsia="Microsoft YaHei"/>
                <w:b/>
                <w:color w:val="A36B00"/>
              </w:rPr>
              <w:t>more than tenfold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year on year, with Japan, the United States, South Korea, Malaysia, Germany and Thailand among the leading </w:t>
            </w:r>
            <w:r>
              <w:rPr>
                <w:rFonts w:ascii="Calibri" w:hAnsi="Calibri" w:eastAsia="Microsoft YaHei"/>
                <w:b/>
                <w:color w:val="2E74B5"/>
              </w:rPr>
              <w:t>source markets</w:t>
            </w:r>
            <w:r>
              <w:rPr>
                <w:rFonts w:ascii="Calibri" w:hAnsi="Calibri" w:eastAsia="Microsoft YaHei"/>
                <w:b w:val="0"/>
                <w:color w:val="25211D"/>
              </w:rPr>
              <w:t>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1500"/>
        <w:gridCol w:w="7860"/>
      </w:tblGrid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2E74B5"/>
                <w:sz w:val="18"/>
              </w:rPr>
              <w:t>术语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主要客源地译为 source markets，符合旅游行业表达。</w:t>
            </w:r>
          </w:p>
        </w:tc>
      </w:tr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3D6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A36B00"/>
                <w:sz w:val="18"/>
              </w:rPr>
              <w:t>事实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3D6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“订单同比增长超过 10 倍”属于平台或统计口径，发布前需补充数据来源。</w:t>
            </w:r>
          </w:p>
        </w:tc>
      </w:tr>
    </w:tbl>
    <w:p>
      <w:pPr>
        <w:pStyle w:val="Heading3"/>
      </w:pPr>
      <w:r>
        <w:t>P04  支付结构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中文整理稿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English Translation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>在中国，</w:t>
            </w:r>
            <w:r>
              <w:rPr>
                <w:rFonts w:ascii="Calibri" w:hAnsi="Calibri" w:eastAsia="Microsoft YaHei"/>
                <w:b/>
                <w:color w:val="2E74B5"/>
              </w:rPr>
              <w:t>二维码支付</w:t>
            </w:r>
            <w:r>
              <w:rPr>
                <w:rFonts w:ascii="Calibri" w:hAnsi="Calibri" w:eastAsia="Microsoft YaHei"/>
                <w:b w:val="0"/>
                <w:color w:val="25211D"/>
              </w:rPr>
              <w:t>成本较低、覆盖面广，尤其受到中小商户青睐，在小额消费中占据主导地位。相比之下，</w:t>
            </w:r>
            <w:r>
              <w:rPr>
                <w:rFonts w:ascii="Calibri" w:hAnsi="Calibri" w:eastAsia="Microsoft YaHei"/>
                <w:b/>
                <w:color w:val="2E74B5"/>
              </w:rPr>
              <w:t>POS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终端与交易手续费提高了刷卡支付的使用成本，使其在部分中小商户中的普及率相对较低；但国际游客通常更习惯银行卡、</w:t>
            </w:r>
            <w:r>
              <w:rPr>
                <w:rFonts w:ascii="Calibri" w:hAnsi="Calibri" w:eastAsia="Microsoft YaHei"/>
                <w:b/>
                <w:color w:val="2E74B5"/>
              </w:rPr>
              <w:t>NFC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与现金。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 xml:space="preserve">In China, </w:t>
            </w:r>
            <w:r>
              <w:rPr>
                <w:rFonts w:ascii="Calibri" w:hAnsi="Calibri" w:eastAsia="Microsoft YaHei"/>
                <w:b/>
                <w:color w:val="2E74B5"/>
              </w:rPr>
              <w:t>QR code payments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are low-cost and widely available, making them especially popular with small and medium-sized merchants and dominant in many low-value transactions. Card acceptance can be more expensive because of </w:t>
            </w:r>
            <w:r>
              <w:rPr>
                <w:rFonts w:ascii="Calibri" w:hAnsi="Calibri" w:eastAsia="Microsoft YaHei"/>
                <w:b/>
                <w:color w:val="2E74B5"/>
              </w:rPr>
              <w:t>POS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terminal and transaction costs, so it is less common among some smaller merchants. International visitors, however, are often more familiar with bank cards, </w:t>
            </w:r>
            <w:r>
              <w:rPr>
                <w:rFonts w:ascii="Calibri" w:hAnsi="Calibri" w:eastAsia="Microsoft YaHei"/>
                <w:b/>
                <w:color w:val="2E74B5"/>
              </w:rPr>
              <w:t>NFC payments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and cash.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1500"/>
        <w:gridCol w:w="7860"/>
      </w:tblGrid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8"/>
              </w:rPr>
              <w:t>表达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将“本地供给结构”和“游客既有习惯”并列，避免把支付差异写成价值判断。</w:t>
            </w:r>
          </w:p>
        </w:tc>
      </w:tr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2E74B5"/>
                <w:sz w:val="18"/>
              </w:rPr>
              <w:t>术语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card acceptance 比 card payment 更能表达商户端受理能力。</w:t>
            </w:r>
          </w:p>
        </w:tc>
      </w:tr>
    </w:tbl>
    <w:p>
      <w:pPr>
        <w:pStyle w:val="Heading3"/>
      </w:pPr>
      <w:r>
        <w:t>P05  解决方案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中文整理稿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English Translation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A36B00"/>
              </w:rPr>
              <w:t>2023 年</w:t>
            </w:r>
            <w:r>
              <w:rPr>
                <w:rFonts w:ascii="Calibri" w:hAnsi="Calibri" w:eastAsia="Microsoft YaHei"/>
                <w:b w:val="0"/>
                <w:color w:val="25211D"/>
              </w:rPr>
              <w:t>，中国提出“</w:t>
            </w:r>
            <w:r>
              <w:rPr>
                <w:rFonts w:ascii="Calibri" w:hAnsi="Calibri" w:eastAsia="Microsoft YaHei"/>
                <w:b/>
                <w:color w:val="3D6B55"/>
              </w:rPr>
              <w:t>大额刷卡、小额扫码、现金兜底</w:t>
            </w:r>
            <w:r>
              <w:rPr>
                <w:rFonts w:ascii="Calibri" w:hAnsi="Calibri" w:eastAsia="Microsoft YaHei"/>
                <w:b w:val="0"/>
                <w:color w:val="25211D"/>
              </w:rPr>
              <w:t>”的入境支付服务思路，覆盖国际游客在华支付的多类场景。以</w:t>
            </w:r>
            <w:r>
              <w:rPr>
                <w:rFonts w:ascii="Calibri" w:hAnsi="Calibri" w:eastAsia="Microsoft YaHei"/>
                <w:b/>
                <w:color w:val="2E74B5"/>
              </w:rPr>
              <w:t>支付宝</w:t>
            </w:r>
            <w:r>
              <w:rPr>
                <w:rFonts w:ascii="Calibri" w:hAnsi="Calibri" w:eastAsia="Microsoft YaHei"/>
                <w:b w:val="0"/>
                <w:color w:val="25211D"/>
              </w:rPr>
              <w:t>为例，入境用户可下载应用、选择国际版并绑定境外银行卡，从而在中国使用移动支付。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A36B00"/>
              </w:rPr>
              <w:t>In 2023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, China introduced an inbound payment approach centered on </w:t>
            </w:r>
            <w:r>
              <w:rPr>
                <w:rFonts w:ascii="Calibri" w:hAnsi="Calibri" w:eastAsia="Microsoft YaHei"/>
                <w:b/>
                <w:color w:val="3D6B55"/>
              </w:rPr>
              <w:t>cards for large payments, QR codes for small payments, and cash as a fallback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, covering a broad range of payment scenarios for international visitors. </w:t>
            </w:r>
            <w:r>
              <w:rPr>
                <w:rFonts w:ascii="Calibri" w:hAnsi="Calibri" w:eastAsia="Microsoft YaHei"/>
                <w:b/>
                <w:color w:val="2E74B5"/>
              </w:rPr>
              <w:t>Alipay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offers one example: inbound users can download the app, select its international version and link an overseas bank card to access mobile payment services in China.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1500"/>
        <w:gridCol w:w="7860"/>
      </w:tblGrid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2E74B5"/>
                <w:sz w:val="18"/>
              </w:rPr>
              <w:t>术语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三段式政策表达采用平行结构，保证节奏与逻辑对称。</w:t>
            </w:r>
          </w:p>
        </w:tc>
      </w:tr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CEBEC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9B1C1C"/>
                <w:sz w:val="18"/>
              </w:rPr>
              <w:t>风险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CEBEC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具体产品注册流程可能随版本变化，正式发布时应再次核验。</w:t>
            </w:r>
          </w:p>
        </w:tc>
      </w:tr>
    </w:tbl>
    <w:p>
      <w:pPr>
        <w:pStyle w:val="Heading1"/>
      </w:pPr>
      <w:r>
        <w:t>03 交付前检查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2880"/>
        <w:gridCol w:w="1440"/>
        <w:gridCol w:w="5040"/>
      </w:tblGrid>
      <w:t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检查项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状态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本稿处理</w:t>
            </w:r>
          </w:p>
        </w:tc>
      </w:tr>
      <w:tr>
        <w:tc>
          <w:tcPr>
            <w:tcW w:type="dxa" w:w="288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专名与缩写统一</w:t>
            </w:r>
          </w:p>
        </w:tc>
        <w:tc>
          <w:tcPr>
            <w:tcW w:type="dxa" w:w="144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9"/>
              </w:rPr>
              <w:t>完成</w:t>
            </w:r>
          </w:p>
        </w:tc>
        <w:tc>
          <w:tcPr>
            <w:tcW w:type="dxa" w:w="504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首次出现给出全称，后续使用统一简称。</w:t>
            </w:r>
          </w:p>
        </w:tc>
      </w:tr>
      <w:tr>
        <w:tc>
          <w:tcPr>
            <w:tcW w:type="dxa" w:w="28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数字与单位格式</w:t>
            </w:r>
          </w:p>
        </w:tc>
        <w:tc>
          <w:tcPr>
            <w:tcW w:type="dxa" w:w="144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9"/>
              </w:rPr>
              <w:t>完成</w:t>
            </w:r>
          </w:p>
        </w:tc>
        <w:tc>
          <w:tcPr>
            <w:tcW w:type="dxa" w:w="504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日期、货币、里程、速度和倍数表达统一。</w:t>
            </w:r>
          </w:p>
        </w:tc>
      </w:tr>
      <w:tr>
        <w:tc>
          <w:tcPr>
            <w:tcW w:type="dxa" w:w="288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中英文标点与空格</w:t>
            </w:r>
          </w:p>
        </w:tc>
        <w:tc>
          <w:tcPr>
            <w:tcW w:type="dxa" w:w="144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9"/>
              </w:rPr>
              <w:t>完成</w:t>
            </w:r>
          </w:p>
        </w:tc>
        <w:tc>
          <w:tcPr>
            <w:tcW w:type="dxa" w:w="504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修复全角/半角混用、引号和断段问题。</w:t>
            </w:r>
          </w:p>
        </w:tc>
      </w:tr>
      <w:tr>
        <w:tc>
          <w:tcPr>
            <w:tcW w:type="dxa" w:w="28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受众与语气</w:t>
            </w:r>
          </w:p>
        </w:tc>
        <w:tc>
          <w:tcPr>
            <w:tcW w:type="dxa" w:w="144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9"/>
              </w:rPr>
              <w:t>完成</w:t>
            </w:r>
          </w:p>
        </w:tc>
        <w:tc>
          <w:tcPr>
            <w:tcW w:type="dxa" w:w="504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减少生硬直译，保留国际传播稿的清晰与克制。</w:t>
            </w:r>
          </w:p>
        </w:tc>
      </w:tr>
      <w:tr>
        <w:tc>
          <w:tcPr>
            <w:tcW w:type="dxa" w:w="288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事实核验提示</w:t>
            </w:r>
          </w:p>
        </w:tc>
        <w:tc>
          <w:tcPr>
            <w:tcW w:type="dxa" w:w="144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9"/>
              </w:rPr>
              <w:t>完成</w:t>
            </w:r>
          </w:p>
        </w:tc>
        <w:tc>
          <w:tcPr>
            <w:tcW w:type="dxa" w:w="504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对时间敏感或来源依赖数据保留显式复核提醒。</w:t>
            </w:r>
          </w:p>
        </w:tc>
      </w:tr>
    </w:tbl>
    <w:p>
      <w:pPr>
        <w:pStyle w:val="Heading1"/>
      </w:pPr>
      <w:r>
        <w:t>04 编辑复盘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3D6B55"/>
                <w:sz w:val="20"/>
              </w:rPr>
              <w:t xml:space="preserve">面向受众  </w:t>
            </w:r>
            <w:r>
              <w:rPr>
                <w:rFonts w:ascii="Calibri" w:hAnsi="Calibri" w:eastAsia="Microsoft YaHei"/>
                <w:color w:val="25211D"/>
                <w:sz w:val="21"/>
              </w:rPr>
              <w:t>国际传播稿不能假设读者熟悉中国支付生态，因此先解释供给结构，再呈现解决方案。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3D6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A36B00"/>
                <w:sz w:val="20"/>
              </w:rPr>
              <w:t xml:space="preserve">信息边界  </w:t>
            </w:r>
            <w:r>
              <w:rPr>
                <w:rFonts w:ascii="Calibri" w:hAnsi="Calibri" w:eastAsia="Microsoft YaHei"/>
                <w:color w:val="25211D"/>
                <w:sz w:val="21"/>
              </w:rPr>
              <w:t>所有数字都保留时间限定；对平台流程与政策口径设置发布前复核提醒。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2E74B5"/>
                <w:sz w:val="20"/>
              </w:rPr>
              <w:t xml:space="preserve">语言选择  </w:t>
            </w:r>
            <w:r>
              <w:rPr>
                <w:rFonts w:ascii="Calibri" w:hAnsi="Calibri" w:eastAsia="Microsoft YaHei"/>
                <w:color w:val="25211D"/>
                <w:sz w:val="21"/>
              </w:rPr>
              <w:t>减少 unfamiliar with the system 等模糊指代，改用 local payment systems、payment access 等更具体表达。</w:t>
            </w:r>
          </w:p>
        </w:tc>
      </w:tr>
    </w:tbl>
    <w:p>
      <w:pPr>
        <w:spacing w:before="160" w:after="0"/>
      </w:pPr>
      <w:r>
        <w:rPr>
          <w:rFonts w:ascii="Calibri" w:hAnsi="Calibri" w:eastAsia="Microsoft YaHei"/>
          <w:i/>
          <w:color w:val="6F6A62"/>
          <w:sz w:val="18"/>
        </w:rPr>
        <w:t>说明：本文件用于展示编译、审校与交付方法。涉及日期、数字与机构口径的信息，应在正式发布前回到委托方最终源稿或权威出处复核。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color w:val="6F6A62"/>
        <w:sz w:val="17"/>
      </w:rPr>
      <w:t xml:space="preserve">PORTFOLIO REVIEW COPY  ·  </w:t>
    </w:r>
    <w:r>
      <w:rPr>
        <w:rFonts w:ascii="Calibri" w:hAnsi="Calibri" w:eastAsia="Microsoft YaHei"/>
        <w:color w:val="6F6A62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Microsoft YaHei"/>
        <w:b/>
        <w:color w:val="6F6A62"/>
        <w:sz w:val="16"/>
      </w:rPr>
      <w:t>CHINA INTERNATIONAL COMMUNICATIONS GROUP  /  INBOUND TRAVEL FACILITATION &amp; PAYMENT ACCESS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YaHei"/>
      <w:color w:val="25211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