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60"/>
      </w:pPr>
      <w:r>
        <w:rPr>
          <w:rFonts w:ascii="Calibri" w:hAnsi="Calibri" w:eastAsia="Microsoft YaHei"/>
          <w:b/>
          <w:color w:val="A36B00"/>
          <w:sz w:val="19"/>
        </w:rPr>
        <w:t>TRANSLATION DELIVERY &amp; QA FILE</w:t>
      </w:r>
    </w:p>
    <w:p>
      <w:pPr>
        <w:spacing w:after="100"/>
      </w:pPr>
      <w:r>
        <w:rPr>
          <w:rFonts w:ascii="Calibri" w:hAnsi="Calibri" w:eastAsia="Microsoft YaHei"/>
          <w:b/>
          <w:color w:val="17324D"/>
          <w:sz w:val="46"/>
        </w:rPr>
        <w:t>雅加达—万隆高铁：项目叙事与工程表达</w:t>
      </w:r>
    </w:p>
    <w:p>
      <w:pPr>
        <w:spacing w:after="360"/>
      </w:pPr>
      <w:r>
        <w:rPr>
          <w:rFonts w:ascii="Calibri" w:hAnsi="Calibri" w:eastAsia="Microsoft YaHei"/>
          <w:i/>
          <w:color w:val="1F4D78"/>
          <w:sz w:val="28"/>
        </w:rPr>
        <w:t>Jakarta–Bandung HSR: Project Narrative &amp; Technical Adaptation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160"/>
        <w:gridCol w:w="7200"/>
      </w:tblGrid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交付类型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中英编译 · 术语统一 · 表达优化 · 事实核验提示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主题领域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基础设施 · “一带一路”合作 · 工程传播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语言方向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EN → CN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编辑状态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4F7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Portfolio Review Copy / 已完成结构化审校</w:t>
            </w:r>
          </w:p>
        </w:tc>
      </w:tr>
      <w:tr>
        <w:tc>
          <w:tcPr>
            <w:tcW w:type="dxa" w:w="21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译者 / 编辑</w:t>
            </w:r>
          </w:p>
        </w:tc>
        <w:tc>
          <w:tcPr>
            <w:tcW w:type="dxa" w:w="7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21"/>
              </w:rPr>
              <w:t>李睿泽 Griffin · 中国外文局亚太传播中心实习期间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 xml:space="preserve">编辑说明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本稿以英文源稿为左栏、中文译文为右栏，重点处理专名统一、引语格式、工程技术表达和跨段断句。原文件中的“万东高铁”、引号不闭合及 earthquake monitoring and / warning system 断段均已修正。</w:t>
            </w:r>
          </w:p>
        </w:tc>
      </w:tr>
    </w:tbl>
    <w:p>
      <w:pPr>
        <w:pStyle w:val="Heading2"/>
      </w:pPr>
      <w:r>
        <w:t>批注颜色说明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>术语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专名与统一口径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A36B00"/>
                <w:sz w:val="20"/>
              </w:rPr>
              <w:t>事实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日期、数字与来源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3D6B55"/>
                <w:sz w:val="20"/>
              </w:rPr>
              <w:t>表达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语序、语气与受众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40"/>
              <w:jc w:val="center"/>
            </w:pPr>
            <w:r>
              <w:rPr>
                <w:rFonts w:ascii="Calibri" w:hAnsi="Calibri" w:eastAsia="Microsoft YaHei"/>
                <w:b/>
                <w:color w:val="9B1C1C"/>
                <w:sz w:val="20"/>
              </w:rPr>
              <w:t>风险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color w:val="6F6A62"/>
                <w:sz w:val="17"/>
              </w:rPr>
              <w:t>需复核或已修正</w:t>
            </w:r>
          </w:p>
        </w:tc>
      </w:tr>
    </w:tbl>
    <w:p>
      <w:r>
        <w:br w:type="page"/>
      </w:r>
    </w:p>
    <w:p>
      <w:pPr>
        <w:pStyle w:val="Heading1"/>
      </w:pPr>
      <w:r>
        <w:t>01 术语与口径</w:t>
      </w:r>
    </w:p>
    <w:p>
      <w:pPr>
        <w:spacing w:after="160"/>
      </w:pPr>
      <w:r>
        <w:t>先统一专名、机构称谓和高频表达，再进入逐段翻译。以下词表用于保证同一文件内口径一致。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520"/>
        <w:gridCol w:w="3420"/>
        <w:gridCol w:w="3420"/>
      </w:tblGrid>
      <w:tr>
        <w:tc>
          <w:tcPr>
            <w:tcW w:type="dxa" w:w="25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中文 / 概念</w:t>
            </w:r>
          </w:p>
        </w:tc>
        <w:tc>
          <w:tcPr>
            <w:tcW w:type="dxa" w:w="34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Preferred English</w:t>
            </w:r>
          </w:p>
        </w:tc>
        <w:tc>
          <w:tcPr>
            <w:tcW w:type="dxa" w:w="34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编辑备注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Jakarta–Bandung HSR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雅加达—万隆高铁 / 雅万高铁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全文不再出现“万东高铁”。</w:t>
            </w:r>
          </w:p>
        </w:tc>
      </w:tr>
      <w:tr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Beijing–Tianjin Intercity Railway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京津城际铁路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使用中国铁路标准称谓。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intelligent sensing technology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智能传感技术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避免译为模糊的智能感知设备。</w:t>
            </w:r>
          </w:p>
        </w:tc>
      </w:tr>
      <w:tr>
        <w:tc>
          <w:tcPr>
            <w:tcW w:type="dxa" w:w="25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earthquake monitoring and warning system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地震监测预警系统</w:t>
            </w:r>
          </w:p>
        </w:tc>
        <w:tc>
          <w:tcPr>
            <w:tcW w:type="dxa" w:w="34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合并原稿跨段断裂。</w:t>
            </w:r>
          </w:p>
        </w:tc>
      </w:tr>
      <w:tr>
        <w:tc>
          <w:tcPr>
            <w:tcW w:type="dxa" w:w="25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Belt and Road Initiative (BRI)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“一带一路”倡议</w:t>
            </w:r>
          </w:p>
        </w:tc>
        <w:tc>
          <w:tcPr>
            <w:tcW w:type="dxa" w:w="342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首次出现给出英文缩写。</w:t>
            </w:r>
          </w:p>
        </w:tc>
      </w:tr>
    </w:tbl>
    <w:p>
      <w:pPr>
        <w:pStyle w:val="Heading1"/>
      </w:pPr>
      <w:r>
        <w:t>02 双语编译与逐段批注</w:t>
      </w:r>
    </w:p>
    <w:p>
      <w:pPr>
        <w:spacing w:after="160"/>
      </w:pPr>
      <w:r>
        <w:t>每段保留双语对照，并用可见批注说明术语选择、事实边界、表达优化与风险修正。彩色文字用于提示关键专名、数字或结构性表达，不代表原稿修订痕迹。</w:t>
      </w:r>
    </w:p>
    <w:p>
      <w:pPr>
        <w:pStyle w:val="Heading3"/>
      </w:pPr>
      <w:r>
        <w:t>P01  开通与效率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Source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中文译文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On </w:t>
            </w:r>
            <w:r>
              <w:rPr>
                <w:rFonts w:ascii="Calibri" w:hAnsi="Calibri" w:eastAsia="Microsoft YaHei"/>
                <w:b/>
                <w:color w:val="A36B00"/>
              </w:rPr>
              <w:t>September 7</w:t>
            </w:r>
            <w:r>
              <w:rPr>
                <w:rFonts w:ascii="Calibri" w:hAnsi="Calibri" w:eastAsia="Microsoft YaHei"/>
                <w:b w:val="0"/>
                <w:color w:val="25211D"/>
              </w:rPr>
              <w:t>, the Jakarta–Bandung High-Speed Railway (</w:t>
            </w:r>
            <w:r>
              <w:rPr>
                <w:rFonts w:ascii="Calibri" w:hAnsi="Calibri" w:eastAsia="Microsoft YaHei"/>
                <w:b/>
                <w:color w:val="2E74B5"/>
              </w:rPr>
              <w:t>Jakarta–Bandung HSR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), jointly built by China and Indonesia, opened, cutting travel time between the two Indonesian cities from </w:t>
            </w:r>
            <w:r>
              <w:rPr>
                <w:rFonts w:ascii="Calibri" w:hAnsi="Calibri" w:eastAsia="Microsoft YaHei"/>
                <w:b/>
                <w:color w:val="A36B00"/>
              </w:rPr>
              <w:t>3.5 hours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to </w:t>
            </w:r>
            <w:r>
              <w:rPr>
                <w:rFonts w:ascii="Calibri" w:hAnsi="Calibri" w:eastAsia="Microsoft YaHei"/>
                <w:b/>
                <w:color w:val="A36B00"/>
              </w:rPr>
              <w:t>40 minutes</w:t>
            </w:r>
            <w:r>
              <w:rPr>
                <w:rFonts w:ascii="Calibri" w:hAnsi="Calibri" w:eastAsia="Microsoft YaHei"/>
                <w:b w:val="0"/>
                <w:color w:val="25211D"/>
              </w:rPr>
              <w:t>.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</w:rPr>
              <w:t>9 月 7 日</w:t>
            </w:r>
            <w:r>
              <w:rPr>
                <w:rFonts w:ascii="Calibri" w:hAnsi="Calibri" w:eastAsia="Microsoft YaHei"/>
                <w:b w:val="0"/>
                <w:color w:val="25211D"/>
              </w:rPr>
              <w:t>，由中国和印度尼西亚共同建设的</w:t>
            </w:r>
            <w:r>
              <w:rPr>
                <w:rFonts w:ascii="Calibri" w:hAnsi="Calibri" w:eastAsia="Microsoft YaHei"/>
                <w:b/>
                <w:color w:val="2E74B5"/>
              </w:rPr>
              <w:t>雅加达—万隆高速铁路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（雅万高铁）开通，将两座城市之间的通行时间从 </w:t>
            </w:r>
            <w:r>
              <w:rPr>
                <w:rFonts w:ascii="Calibri" w:hAnsi="Calibri" w:eastAsia="Microsoft YaHei"/>
                <w:b/>
                <w:color w:val="A36B00"/>
              </w:rPr>
              <w:t>3.5 小时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缩短至 </w:t>
            </w:r>
            <w:r>
              <w:rPr>
                <w:rFonts w:ascii="Calibri" w:hAnsi="Calibri" w:eastAsia="Microsoft YaHei"/>
                <w:b/>
                <w:color w:val="A36B00"/>
              </w:rPr>
              <w:t>40 分钟</w:t>
            </w:r>
            <w:r>
              <w:rPr>
                <w:rFonts w:ascii="Calibri" w:hAnsi="Calibri" w:eastAsia="Microsoft YaHei"/>
                <w:b w:val="0"/>
                <w:color w:val="25211D"/>
              </w:rPr>
              <w:t>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  <w:sz w:val="18"/>
              </w:rPr>
              <w:t>事实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3D6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开通日期属于强时效事实，本稿保留源稿日期但设置发布前核验。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首段给出全称与“雅万高铁”简称，后文可直接使用简称。</w:t>
            </w:r>
          </w:p>
        </w:tc>
      </w:tr>
    </w:tbl>
    <w:p>
      <w:pPr>
        <w:pStyle w:val="Heading3"/>
      </w:pPr>
      <w:r>
        <w:t>P02  区域价值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Source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中文译文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The railway will greatly improve local transportation, boost </w:t>
            </w:r>
            <w:r>
              <w:rPr>
                <w:rFonts w:ascii="Calibri" w:hAnsi="Calibri" w:eastAsia="Microsoft YaHei"/>
                <w:b/>
                <w:color w:val="2E74B5"/>
              </w:rPr>
              <w:t>industrial development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along the route, and facilitate </w:t>
            </w:r>
            <w:r>
              <w:rPr>
                <w:rFonts w:ascii="Calibri" w:hAnsi="Calibri" w:eastAsia="Microsoft YaHei"/>
                <w:b/>
                <w:color w:val="3D6B55"/>
              </w:rPr>
              <w:t>economic and social progress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throughout the country.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这条铁路将改善当地交通条件，带动</w:t>
            </w:r>
            <w:r>
              <w:rPr>
                <w:rFonts w:ascii="Calibri" w:hAnsi="Calibri" w:eastAsia="Microsoft YaHei"/>
                <w:b/>
                <w:color w:val="2E74B5"/>
              </w:rPr>
              <w:t>沿线产业发展</w:t>
            </w:r>
            <w:r>
              <w:rPr>
                <w:rFonts w:ascii="Calibri" w:hAnsi="Calibri" w:eastAsia="Microsoft YaHei"/>
                <w:b w:val="0"/>
                <w:color w:val="25211D"/>
              </w:rPr>
              <w:t>，并为印度尼西亚的</w:t>
            </w:r>
            <w:r>
              <w:rPr>
                <w:rFonts w:ascii="Calibri" w:hAnsi="Calibri" w:eastAsia="Microsoft YaHei"/>
                <w:b/>
                <w:color w:val="3D6B55"/>
              </w:rPr>
              <w:t>经济与社会进步</w:t>
            </w:r>
            <w:r>
              <w:rPr>
                <w:rFonts w:ascii="Calibri" w:hAnsi="Calibri" w:eastAsia="Microsoft YaHei"/>
                <w:b w:val="0"/>
                <w:color w:val="25211D"/>
              </w:rPr>
              <w:t>提供支持。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将 greatly improve 调整为“改善”，避免中文译文中无证据支撑的强度放大。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industry along the route 译为“沿线产业”，比“沿线工业”覆盖更完整。</w:t>
            </w:r>
          </w:p>
        </w:tc>
      </w:tr>
    </w:tbl>
    <w:p>
      <w:pPr>
        <w:pStyle w:val="Heading3"/>
      </w:pPr>
      <w:r>
        <w:t>P03  既有交通条件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Source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中文译文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Before the Jakarta–Bandung HSR, the railway connecting the two cities was </w:t>
            </w:r>
            <w:r>
              <w:rPr>
                <w:rFonts w:ascii="Calibri" w:hAnsi="Calibri" w:eastAsia="Microsoft YaHei"/>
                <w:b/>
                <w:color w:val="A36B00"/>
              </w:rPr>
              <w:t>more than a century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old. Trains ran at only about </w:t>
            </w:r>
            <w:r>
              <w:rPr>
                <w:rFonts w:ascii="Calibri" w:hAnsi="Calibri" w:eastAsia="Microsoft YaHei"/>
                <w:b/>
                <w:color w:val="A36B00"/>
              </w:rPr>
              <w:t>50 km/h</w:t>
            </w:r>
            <w:r>
              <w:rPr>
                <w:rFonts w:ascii="Calibri" w:hAnsi="Calibri" w:eastAsia="Microsoft YaHei"/>
                <w:b w:val="0"/>
                <w:color w:val="25211D"/>
              </w:rPr>
              <w:t>, making the journey long and uncomfortable for passengers.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雅万高铁开通前，连接两座城市的既有铁路已有</w:t>
            </w:r>
            <w:r>
              <w:rPr>
                <w:rFonts w:ascii="Calibri" w:hAnsi="Calibri" w:eastAsia="Microsoft YaHei"/>
                <w:b/>
                <w:color w:val="A36B00"/>
              </w:rPr>
              <w:t>百余年</w:t>
            </w:r>
            <w:r>
              <w:rPr>
                <w:rFonts w:ascii="Calibri" w:hAnsi="Calibri" w:eastAsia="Microsoft YaHei"/>
                <w:b w:val="0"/>
                <w:color w:val="25211D"/>
              </w:rPr>
              <w:t>历史，列车运行速度约为</w:t>
            </w:r>
            <w:r>
              <w:rPr>
                <w:rFonts w:ascii="Calibri" w:hAnsi="Calibri" w:eastAsia="Microsoft YaHei"/>
                <w:b/>
                <w:color w:val="A36B00"/>
              </w:rPr>
              <w:t>每小时 50 公里</w:t>
            </w:r>
            <w:r>
              <w:rPr>
                <w:rFonts w:ascii="Calibri" w:hAnsi="Calibri" w:eastAsia="Microsoft YaHei"/>
                <w:b w:val="0"/>
                <w:color w:val="25211D"/>
              </w:rPr>
              <w:t>，旅程耗时较长，乘坐体验也较为不便。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将 outdated / uncomfortable 的评价性语气转为“既有铁路、耗时较长、较为不便”，更符合正式传播稿。</w:t>
            </w:r>
          </w:p>
        </w:tc>
      </w:tr>
    </w:tbl>
    <w:p>
      <w:pPr>
        <w:pStyle w:val="Heading3"/>
      </w:pPr>
      <w:r>
        <w:t>P04  合作起点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Source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中文译文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In </w:t>
            </w:r>
            <w:r>
              <w:rPr>
                <w:rFonts w:ascii="Calibri" w:hAnsi="Calibri" w:eastAsia="Microsoft YaHei"/>
                <w:b/>
                <w:color w:val="A36B00"/>
              </w:rPr>
              <w:t>November 2014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Indonesian President </w:t>
            </w:r>
            <w:r>
              <w:rPr>
                <w:rFonts w:ascii="Calibri" w:hAnsi="Calibri" w:eastAsia="Microsoft YaHei"/>
                <w:b/>
                <w:color w:val="2E74B5"/>
              </w:rPr>
              <w:t>Joko Widodo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was invited to experience the </w:t>
            </w:r>
            <w:r>
              <w:rPr>
                <w:rFonts w:ascii="Calibri" w:hAnsi="Calibri" w:eastAsia="Microsoft YaHei"/>
                <w:b/>
                <w:color w:val="2E74B5"/>
              </w:rPr>
              <w:t>Beijing–Tianjin Intercity Railway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and was impressed by the speed, safety and comfort of China's high-speed rail. “Indonesia will build its own high-speed railway,” Widodo said. Cooperation between China and Indonesia on the Jakarta–Bandung HSR then officially began.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</w:rPr>
              <w:t>2014 年 11 月</w:t>
            </w:r>
            <w:r>
              <w:rPr>
                <w:rFonts w:ascii="Calibri" w:hAnsi="Calibri" w:eastAsia="Microsoft YaHei"/>
                <w:b w:val="0"/>
                <w:color w:val="25211D"/>
              </w:rPr>
              <w:t>，印度尼西亚总统</w:t>
            </w:r>
            <w:r>
              <w:rPr>
                <w:rFonts w:ascii="Calibri" w:hAnsi="Calibri" w:eastAsia="Microsoft YaHei"/>
                <w:b/>
                <w:color w:val="2E74B5"/>
              </w:rPr>
              <w:t>佐科·维多多</w:t>
            </w:r>
            <w:r>
              <w:rPr>
                <w:rFonts w:ascii="Calibri" w:hAnsi="Calibri" w:eastAsia="Microsoft YaHei"/>
                <w:b w:val="0"/>
                <w:color w:val="25211D"/>
              </w:rPr>
              <w:t>受邀体验</w:t>
            </w:r>
            <w:r>
              <w:rPr>
                <w:rFonts w:ascii="Calibri" w:hAnsi="Calibri" w:eastAsia="Microsoft YaHei"/>
                <w:b/>
                <w:color w:val="2E74B5"/>
              </w:rPr>
              <w:t>京津城际铁路</w:t>
            </w:r>
            <w:r>
              <w:rPr>
                <w:rFonts w:ascii="Calibri" w:hAnsi="Calibri" w:eastAsia="Microsoft YaHei"/>
                <w:b w:val="0"/>
                <w:color w:val="25211D"/>
              </w:rPr>
              <w:t>。中国高铁的速度、安全性与舒适性给他留下了深刻印象。维多多表示：“印度尼西亚将建设自己的高铁。”此后，中印尼雅万高铁合作正式启动。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Joko Widodo 统一译为“佐科·维多多”，使用间隔号。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9B1C1C"/>
                <w:sz w:val="18"/>
              </w:rPr>
              <w:t>风险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修复原译文中引号与句号位置，并纠正“万东高铁”为“雅万高铁”。</w:t>
            </w:r>
          </w:p>
        </w:tc>
      </w:tr>
    </w:tbl>
    <w:p>
      <w:pPr>
        <w:pStyle w:val="Heading3"/>
      </w:pPr>
      <w:r>
        <w:t>P05  前期勘察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Source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中文译文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In </w:t>
            </w:r>
            <w:r>
              <w:rPr>
                <w:rFonts w:ascii="Calibri" w:hAnsi="Calibri" w:eastAsia="Microsoft YaHei"/>
                <w:b/>
                <w:color w:val="A36B00"/>
              </w:rPr>
              <w:t>April 2015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, Chinese engineers traveled to Indonesia to survey natural conditions along the proposed route. Working through tropical rainforest, hazardous wildlife and several earthquakes, the team covered more than </w:t>
            </w:r>
            <w:r>
              <w:rPr>
                <w:rFonts w:ascii="Calibri" w:hAnsi="Calibri" w:eastAsia="Microsoft YaHei"/>
                <w:b/>
                <w:color w:val="A36B00"/>
              </w:rPr>
              <w:t>300 kilometers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and completed a feasibility report of over </w:t>
            </w:r>
            <w:r>
              <w:rPr>
                <w:rFonts w:ascii="Calibri" w:hAnsi="Calibri" w:eastAsia="Microsoft YaHei"/>
                <w:b/>
                <w:color w:val="A36B00"/>
              </w:rPr>
              <w:t>400 pages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before the deadline. China won the project on </w:t>
            </w:r>
            <w:r>
              <w:rPr>
                <w:rFonts w:ascii="Calibri" w:hAnsi="Calibri" w:eastAsia="Microsoft YaHei"/>
                <w:b/>
                <w:color w:val="A36B00"/>
              </w:rPr>
              <w:t>September 2</w:t>
            </w:r>
            <w:r>
              <w:rPr>
                <w:rFonts w:ascii="Calibri" w:hAnsi="Calibri" w:eastAsia="Microsoft YaHei"/>
                <w:b w:val="0"/>
                <w:color w:val="25211D"/>
              </w:rPr>
              <w:t>.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A36B00"/>
              </w:rPr>
              <w:t>2015 年 4 月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，中国工程师赴印度尼西亚勘察线路沿线的自然条件。团队穿越热带雨林，应对危险野生动物与多次地震，累计跋涉 </w:t>
            </w:r>
            <w:r>
              <w:rPr>
                <w:rFonts w:ascii="Calibri" w:hAnsi="Calibri" w:eastAsia="Microsoft YaHei"/>
                <w:b/>
                <w:color w:val="A36B00"/>
              </w:rPr>
              <w:t>300 多公里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，并在截止日期前完成 </w:t>
            </w:r>
            <w:r>
              <w:rPr>
                <w:rFonts w:ascii="Calibri" w:hAnsi="Calibri" w:eastAsia="Microsoft YaHei"/>
                <w:b/>
                <w:color w:val="A36B00"/>
              </w:rPr>
              <w:t>400 多页</w:t>
            </w:r>
            <w:r>
              <w:rPr>
                <w:rFonts w:ascii="Calibri" w:hAnsi="Calibri" w:eastAsia="Microsoft YaHei"/>
                <w:b w:val="0"/>
                <w:color w:val="25211D"/>
              </w:rPr>
              <w:t>的可行性报告。</w:t>
            </w:r>
            <w:r>
              <w:rPr>
                <w:rFonts w:ascii="Calibri" w:hAnsi="Calibri" w:eastAsia="Microsoft YaHei"/>
                <w:b/>
                <w:color w:val="A36B00"/>
              </w:rPr>
              <w:t>9 月 2 日</w:t>
            </w:r>
            <w:r>
              <w:rPr>
                <w:rFonts w:ascii="Calibri" w:hAnsi="Calibri" w:eastAsia="Microsoft YaHei"/>
                <w:b w:val="0"/>
                <w:color w:val="25211D"/>
              </w:rPr>
              <w:t>，中国方案最终中标。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移除原英文 animals.The 的粘连错误，并把勘察条件、行动和交付结果拆成顺序清楚的叙事。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won the project 根据工程竞标语境译为“方案中标”。</w:t>
            </w:r>
          </w:p>
        </w:tc>
      </w:tr>
    </w:tbl>
    <w:p>
      <w:pPr>
        <w:pStyle w:val="Heading3"/>
      </w:pPr>
      <w:r>
        <w:t>P06  技术适配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Source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中文译文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Construction of the Jakarta–Bandung HSR faced a series of challenges. Trains designed for the railway adopted </w:t>
            </w:r>
            <w:r>
              <w:rPr>
                <w:rFonts w:ascii="Calibri" w:hAnsi="Calibri" w:eastAsia="Microsoft YaHei"/>
                <w:b/>
                <w:color w:val="2E74B5"/>
              </w:rPr>
              <w:t>intelligent sensing technology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and an </w:t>
            </w:r>
            <w:r>
              <w:rPr>
                <w:rFonts w:ascii="Calibri" w:hAnsi="Calibri" w:eastAsia="Microsoft YaHei"/>
                <w:b/>
                <w:color w:val="2E74B5"/>
              </w:rPr>
              <w:t>earthquake monitoring and warning system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to adapt to conditions along the route.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雅万高铁建设面临一系列挑战。为该线路量身设计的列车采用</w:t>
            </w:r>
            <w:r>
              <w:rPr>
                <w:rFonts w:ascii="Calibri" w:hAnsi="Calibri" w:eastAsia="Microsoft YaHei"/>
                <w:b/>
                <w:color w:val="2E74B5"/>
              </w:rPr>
              <w:t>智能传感技术</w:t>
            </w:r>
            <w:r>
              <w:rPr>
                <w:rFonts w:ascii="Calibri" w:hAnsi="Calibri" w:eastAsia="Microsoft YaHei"/>
                <w:b w:val="0"/>
                <w:color w:val="25211D"/>
              </w:rPr>
              <w:t>，并配备</w:t>
            </w:r>
            <w:r>
              <w:rPr>
                <w:rFonts w:ascii="Calibri" w:hAnsi="Calibri" w:eastAsia="Microsoft YaHei"/>
                <w:b/>
                <w:color w:val="2E74B5"/>
              </w:rPr>
              <w:t>地震监测预警系统</w:t>
            </w:r>
            <w:r>
              <w:rPr>
                <w:rFonts w:ascii="Calibri" w:hAnsi="Calibri" w:eastAsia="Microsoft YaHei"/>
                <w:b w:val="0"/>
                <w:color w:val="25211D"/>
              </w:rPr>
              <w:t>，以适应沿线环境条件。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9B1C1C"/>
                <w:sz w:val="18"/>
              </w:rPr>
              <w:t>风险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原文件将 monitoring and / warning system 错误拆成两段，本稿恢复完整技术名词。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不保留 fell behind 的直接负面判断，改为 faced challenges，更适合项目传播语境。</w:t>
            </w:r>
          </w:p>
        </w:tc>
      </w:tr>
    </w:tbl>
    <w:p>
      <w:pPr>
        <w:pStyle w:val="Heading3"/>
      </w:pPr>
      <w:r>
        <w:t>P07  合作意义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English Source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中文译文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 xml:space="preserve">The Jakarta–Bandung HSR is </w:t>
            </w:r>
            <w:r>
              <w:rPr>
                <w:rFonts w:ascii="Calibri" w:hAnsi="Calibri" w:eastAsia="Microsoft YaHei"/>
                <w:b/>
                <w:color w:val="A36B00"/>
              </w:rPr>
              <w:t>Southeast Asia's first high-speed railway</w:t>
            </w:r>
            <w:r>
              <w:rPr>
                <w:rFonts w:ascii="Calibri" w:hAnsi="Calibri" w:eastAsia="Microsoft YaHei"/>
                <w:b w:val="0"/>
                <w:color w:val="25211D"/>
              </w:rPr>
              <w:t xml:space="preserve"> and a flagship China–Indonesia cooperation project under the </w:t>
            </w:r>
            <w:r>
              <w:rPr>
                <w:rFonts w:ascii="Calibri" w:hAnsi="Calibri" w:eastAsia="Microsoft YaHei"/>
                <w:b/>
                <w:color w:val="2E74B5"/>
              </w:rPr>
              <w:t>Belt and Road Initiative (BRI)</w:t>
            </w:r>
            <w:r>
              <w:rPr>
                <w:rFonts w:ascii="Calibri" w:hAnsi="Calibri" w:eastAsia="Microsoft YaHei"/>
                <w:b w:val="0"/>
                <w:color w:val="25211D"/>
              </w:rPr>
              <w:t>. The railway reflects aspirations for better living standards and offers an example of developing countries working together toward modernization.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AF7F1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</w:rPr>
              <w:t>雅万高铁是</w:t>
            </w:r>
            <w:r>
              <w:rPr>
                <w:rFonts w:ascii="Calibri" w:hAnsi="Calibri" w:eastAsia="Microsoft YaHei"/>
                <w:b/>
                <w:color w:val="A36B00"/>
              </w:rPr>
              <w:t>东南亚首条高速铁路</w:t>
            </w:r>
            <w:r>
              <w:rPr>
                <w:rFonts w:ascii="Calibri" w:hAnsi="Calibri" w:eastAsia="Microsoft YaHei"/>
                <w:b w:val="0"/>
                <w:color w:val="25211D"/>
              </w:rPr>
              <w:t>，也是中国与印度尼西亚共建</w:t>
            </w:r>
            <w:r>
              <w:rPr>
                <w:rFonts w:ascii="Calibri" w:hAnsi="Calibri" w:eastAsia="Microsoft YaHei"/>
                <w:b/>
                <w:color w:val="2E74B5"/>
              </w:rPr>
              <w:t>“一带一路”</w:t>
            </w:r>
            <w:r>
              <w:rPr>
                <w:rFonts w:ascii="Calibri" w:hAnsi="Calibri" w:eastAsia="Microsoft YaHei"/>
                <w:b w:val="0"/>
                <w:color w:val="25211D"/>
              </w:rPr>
              <w:t>的旗舰合作项目。它承载着改善民生的期待，也为发展中国家协力推进现代化提供了合作案例。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1500"/>
        <w:gridCol w:w="7860"/>
      </w:tblGrid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2E74B5"/>
                <w:sz w:val="18"/>
              </w:rPr>
              <w:t>术语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Belt and Road Initiative 首次出现保留 BRI 缩写；中文采用规范书名号式引号。</w:t>
            </w:r>
          </w:p>
        </w:tc>
      </w:tr>
      <w:tr>
        <w:trPr>
          <w:cantSplit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8"/>
              </w:rPr>
              <w:t>表达</w:t>
            </w:r>
          </w:p>
        </w:tc>
        <w:tc>
          <w:tcPr>
            <w:tcW w:type="dxa" w:w="7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5211D"/>
                <w:sz w:val="19"/>
              </w:rPr>
              <w:t>将 successful example 调整为“合作案例”，降低未经展开论证的评价强度。</w:t>
            </w:r>
          </w:p>
        </w:tc>
      </w:tr>
    </w:tbl>
    <w:p>
      <w:pPr>
        <w:pStyle w:val="Heading1"/>
      </w:pPr>
      <w:r>
        <w:t>03 交付前检查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2880"/>
        <w:gridCol w:w="1440"/>
        <w:gridCol w:w="5040"/>
      </w:tblGrid>
      <w:tr>
        <w:tc>
          <w:tcPr>
            <w:tcW w:type="dxa" w:w="28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检查项</w:t>
            </w:r>
          </w:p>
        </w:tc>
        <w:tc>
          <w:tcPr>
            <w:tcW w:type="dxa" w:w="14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状态</w:t>
            </w:r>
          </w:p>
        </w:tc>
        <w:tc>
          <w:tcPr>
            <w:tcW w:type="dxa" w:w="50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24D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FFFFFF"/>
                <w:sz w:val="19"/>
              </w:rPr>
              <w:t>本稿处理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专名与缩写统一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首次出现给出全称，后续使用统一简称。</w:t>
            </w:r>
          </w:p>
        </w:tc>
      </w:tr>
      <w:tr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数字与单位格式</w:t>
            </w:r>
          </w:p>
        </w:tc>
        <w:tc>
          <w:tcPr>
            <w:tcW w:type="dxa" w:w="14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日期、货币、里程、速度和倍数表达统一。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中英文标点与空格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修复全角/半角混用、引号和断段问题。</w:t>
            </w:r>
          </w:p>
        </w:tc>
      </w:tr>
      <w:tr>
        <w:tc>
          <w:tcPr>
            <w:tcW w:type="dxa" w:w="28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受众与语气</w:t>
            </w:r>
          </w:p>
        </w:tc>
        <w:tc>
          <w:tcPr>
            <w:tcW w:type="dxa" w:w="14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减少生硬直译，保留国际传播稿的清晰与克制。</w:t>
            </w:r>
          </w:p>
        </w:tc>
      </w:tr>
      <w:tr>
        <w:tc>
          <w:tcPr>
            <w:tcW w:type="dxa" w:w="288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事实核验提示</w:t>
            </w:r>
          </w:p>
        </w:tc>
        <w:tc>
          <w:tcPr>
            <w:tcW w:type="dxa" w:w="14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3D6B55"/>
                <w:sz w:val="19"/>
              </w:rPr>
              <w:t>完成</w:t>
            </w:r>
          </w:p>
        </w:tc>
        <w:tc>
          <w:tcPr>
            <w:tcW w:type="dxa" w:w="5040"/>
            <w:shd w:fill="FAF7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b w:val="0"/>
                <w:color w:val="25211D"/>
                <w:sz w:val="19"/>
              </w:rPr>
              <w:t>对时间敏感或来源依赖数据保留显式复核提醒。</w:t>
            </w:r>
          </w:p>
        </w:tc>
      </w:tr>
    </w:tbl>
    <w:p>
      <w:pPr>
        <w:pStyle w:val="Heading1"/>
      </w:pPr>
      <w:r>
        <w:t>04 编辑复盘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CEBEC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9B1C1C"/>
                <w:sz w:val="20"/>
              </w:rPr>
              <w:t xml:space="preserve">错误修正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统一修复“万东高铁”、英文粘连、引号不闭合与技术词组跨段断裂。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4EE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3D6B55"/>
                <w:sz w:val="20"/>
              </w:rPr>
              <w:t xml:space="preserve">传播语气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对 outdated、fell behind、successful example 等表达进行语气校准，保留事实而减少生硬评价。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8D3CA"/>
          <w:left w:val="single" w:sz="6" w:space="0" w:color="D8D3CA"/>
          <w:bottom w:val="single" w:sz="6" w:space="0" w:color="D8D3CA"/>
          <w:right w:val="single" w:sz="6" w:space="0" w:color="D8D3CA"/>
          <w:insideH w:val="single" w:sz="6" w:space="0" w:color="D8D3CA"/>
          <w:insideV w:val="single" w:sz="6" w:space="0" w:color="D8D3CA"/>
        </w:tblBorders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2E74B5"/>
                <w:sz w:val="20"/>
              </w:rPr>
              <w:t xml:space="preserve">工程口径  </w:t>
            </w:r>
            <w:r>
              <w:rPr>
                <w:rFonts w:ascii="Calibri" w:hAnsi="Calibri" w:eastAsia="Microsoft YaHei"/>
                <w:color w:val="25211D"/>
                <w:sz w:val="21"/>
              </w:rPr>
              <w:t>全称、简称、技术系统和单位写法均纳入术语表，方便多人协作审校。</w:t>
            </w:r>
          </w:p>
        </w:tc>
      </w:tr>
    </w:tbl>
    <w:p>
      <w:pPr>
        <w:spacing w:before="160" w:after="0"/>
      </w:pPr>
      <w:r>
        <w:rPr>
          <w:rFonts w:ascii="Calibri" w:hAnsi="Calibri" w:eastAsia="Microsoft YaHei"/>
          <w:i/>
          <w:color w:val="6F6A62"/>
          <w:sz w:val="18"/>
        </w:rPr>
        <w:t>说明：本文件用于展示编译、审校与交付方法。涉及日期、数字与机构口径的信息，应在正式发布前回到委托方最终源稿或权威出处复核。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F6A62"/>
        <w:sz w:val="17"/>
      </w:rPr>
      <w:t xml:space="preserve">PORTFOLIO REVIEW COPY  ·  </w:t>
    </w:r>
    <w:r>
      <w:rPr>
        <w:rFonts w:ascii="Calibri" w:hAnsi="Calibri" w:eastAsia="Microsoft YaHei"/>
        <w:color w:val="6F6A62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F6A62"/>
        <w:sz w:val="16"/>
      </w:rPr>
      <w:t>CHINA INTERNATIONAL COMMUNICATIONS GROUP  /  JAKARTA–BANDUNG HSR: PROJECT NARRATIVE &amp; TECHNICAL ADAPTATION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521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