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60"/>
      </w:pPr>
      <w:r>
        <w:rPr>
          <w:rFonts w:ascii="Calibri" w:hAnsi="Calibri" w:eastAsia="Microsoft YaHei"/>
          <w:b/>
          <w:color w:val="A36B00"/>
          <w:sz w:val="19"/>
        </w:rPr>
        <w:t>TRANSLATION DELIVERY &amp; QA FILE</w:t>
      </w:r>
    </w:p>
    <w:p>
      <w:pPr>
        <w:spacing w:after="100"/>
      </w:pPr>
      <w:r>
        <w:rPr>
          <w:rFonts w:ascii="Calibri" w:hAnsi="Calibri" w:eastAsia="Microsoft YaHei"/>
          <w:b/>
          <w:color w:val="17324D"/>
          <w:sz w:val="54"/>
        </w:rPr>
        <w:t>杭州亚运会：赛事经济与数字赋能</w:t>
      </w:r>
    </w:p>
    <w:p>
      <w:pPr>
        <w:spacing w:after="360"/>
      </w:pPr>
      <w:r>
        <w:rPr>
          <w:rFonts w:ascii="Calibri" w:hAnsi="Calibri" w:eastAsia="Microsoft YaHei"/>
          <w:i/>
          <w:color w:val="1F4D78"/>
          <w:sz w:val="28"/>
        </w:rPr>
        <w:t>Hangzhou Asian Games: Event Economy &amp; Digital Enablement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2160"/>
        <w:gridCol w:w="7200"/>
      </w:tblGrid>
      <w:t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交付类型</w:t>
            </w:r>
          </w:p>
        </w:tc>
        <w:tc>
          <w:tcPr>
            <w:tcW w:type="dxa" w:w="7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21"/>
              </w:rPr>
              <w:t>中英编译 · 术语统一 · 表达优化 · 事实核验提示</w:t>
            </w:r>
          </w:p>
        </w:tc>
      </w:tr>
      <w:t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主题领域</w:t>
            </w:r>
          </w:p>
        </w:tc>
        <w:tc>
          <w:tcPr>
            <w:tcW w:type="dxa" w:w="7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21"/>
              </w:rPr>
              <w:t>国际赛事 · 城市经济 · 数字技术</w:t>
            </w:r>
          </w:p>
        </w:tc>
      </w:tr>
      <w:t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语言方向</w:t>
            </w:r>
          </w:p>
        </w:tc>
        <w:tc>
          <w:tcPr>
            <w:tcW w:type="dxa" w:w="7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21"/>
              </w:rPr>
              <w:t>CN → EN</w:t>
            </w:r>
          </w:p>
        </w:tc>
      </w:tr>
      <w:t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编辑状态</w:t>
            </w:r>
          </w:p>
        </w:tc>
        <w:tc>
          <w:tcPr>
            <w:tcW w:type="dxa" w:w="7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21"/>
              </w:rPr>
              <w:t>Portfolio Review Copy / 已完成结构化审校</w:t>
            </w:r>
          </w:p>
        </w:tc>
      </w:tr>
      <w:t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译者 / 编辑</w:t>
            </w:r>
          </w:p>
        </w:tc>
        <w:tc>
          <w:tcPr>
            <w:tcW w:type="dxa" w:w="7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21"/>
              </w:rPr>
              <w:t>李睿泽 Griffin · 中国外文局亚太传播中心实习期间</w:t>
            </w:r>
          </w:p>
        </w:tc>
      </w:tr>
    </w:tbl>
    <w:p/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2E74B5"/>
                <w:sz w:val="20"/>
              </w:rPr>
              <w:t xml:space="preserve">编辑说明  </w:t>
            </w:r>
            <w:r>
              <w:rPr>
                <w:rFonts w:ascii="Calibri" w:hAnsi="Calibri" w:eastAsia="Microsoft YaHei"/>
                <w:color w:val="25211D"/>
                <w:sz w:val="21"/>
              </w:rPr>
              <w:t>本稿不把亚运会只写成赛事报道，而是梳理成“城市影响—赛事特色—量化结果—数字能力”四层信息。审校重点是主新闻发言人称谓、金额单位、数字场景专名与科技表述的一致性。</w:t>
            </w:r>
          </w:p>
        </w:tc>
      </w:tr>
    </w:tbl>
    <w:p>
      <w:pPr>
        <w:pStyle w:val="Heading2"/>
      </w:pPr>
      <w:r>
        <w:t>批注颜色说明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40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0"/>
              </w:rPr>
              <w:t>术语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color w:val="6F6A62"/>
                <w:sz w:val="17"/>
              </w:rPr>
              <w:t>专名与统一口径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3D6"/>
          </w:tcPr>
          <w:p>
            <w:pPr>
              <w:spacing w:after="40"/>
              <w:jc w:val="center"/>
            </w:pPr>
            <w:r>
              <w:rPr>
                <w:rFonts w:ascii="Calibri" w:hAnsi="Calibri" w:eastAsia="Microsoft YaHei"/>
                <w:b/>
                <w:color w:val="A36B00"/>
                <w:sz w:val="20"/>
              </w:rPr>
              <w:t>事实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color w:val="6F6A62"/>
                <w:sz w:val="17"/>
              </w:rPr>
              <w:t>日期、数字与来源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40"/>
              <w:jc w:val="center"/>
            </w:pPr>
            <w:r>
              <w:rPr>
                <w:rFonts w:ascii="Calibri" w:hAnsi="Calibri" w:eastAsia="Microsoft YaHei"/>
                <w:b/>
                <w:color w:val="3D6B55"/>
                <w:sz w:val="20"/>
              </w:rPr>
              <w:t>表达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color w:val="6F6A62"/>
                <w:sz w:val="17"/>
              </w:rPr>
              <w:t>语序、语气与受众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CEBEC"/>
          </w:tcPr>
          <w:p>
            <w:pPr>
              <w:spacing w:after="40"/>
              <w:jc w:val="center"/>
            </w:pPr>
            <w:r>
              <w:rPr>
                <w:rFonts w:ascii="Calibri" w:hAnsi="Calibri" w:eastAsia="Microsoft YaHei"/>
                <w:b/>
                <w:color w:val="9B1C1C"/>
                <w:sz w:val="20"/>
              </w:rPr>
              <w:t>风险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color w:val="6F6A62"/>
                <w:sz w:val="17"/>
              </w:rPr>
              <w:t>需复核或已修正</w:t>
            </w:r>
          </w:p>
        </w:tc>
      </w:tr>
    </w:tbl>
    <w:p>
      <w:r>
        <w:br w:type="page"/>
      </w:r>
    </w:p>
    <w:p>
      <w:pPr>
        <w:pStyle w:val="Heading1"/>
      </w:pPr>
      <w:r>
        <w:t>01 术语与口径</w:t>
      </w:r>
    </w:p>
    <w:p>
      <w:pPr>
        <w:spacing w:after="160"/>
      </w:pPr>
      <w:r>
        <w:t>先统一专名、机构称谓和高频表达，再进入逐段翻译。以下词表用于保证同一文件内口径一致。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2520"/>
        <w:gridCol w:w="3420"/>
        <w:gridCol w:w="3420"/>
      </w:tblGrid>
      <w:t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中文 / 概念</w:t>
            </w:r>
          </w:p>
        </w:tc>
        <w:tc>
          <w:tcPr>
            <w:tcW w:type="dxa" w:w="34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Preferred English</w:t>
            </w:r>
          </w:p>
        </w:tc>
        <w:tc>
          <w:tcPr>
            <w:tcW w:type="dxa" w:w="34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编辑备注</w:t>
            </w:r>
          </w:p>
        </w:tc>
      </w:tr>
      <w:tr>
        <w:tc>
          <w:tcPr>
            <w:tcW w:type="dxa" w:w="25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第十九届亚洲运动会</w:t>
            </w:r>
          </w:p>
        </w:tc>
        <w:tc>
          <w:tcPr>
            <w:tcW w:type="dxa" w:w="34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the 19th Asian Games</w:t>
            </w:r>
          </w:p>
        </w:tc>
        <w:tc>
          <w:tcPr>
            <w:tcW w:type="dxa" w:w="34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首次出现写全，后文简称 the Asian Games。</w:t>
            </w:r>
          </w:p>
        </w:tc>
      </w:tr>
      <w:tr>
        <w:tc>
          <w:tcPr>
            <w:tcW w:type="dxa" w:w="25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协办城市</w:t>
            </w:r>
          </w:p>
        </w:tc>
        <w:tc>
          <w:tcPr>
            <w:tcW w:type="dxa" w:w="34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co-host city</w:t>
            </w:r>
          </w:p>
        </w:tc>
        <w:tc>
          <w:tcPr>
            <w:tcW w:type="dxa" w:w="34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用于赛事分赛区和城市协同语境。</w:t>
            </w:r>
          </w:p>
        </w:tc>
      </w:tr>
      <w:tr>
        <w:tc>
          <w:tcPr>
            <w:tcW w:type="dxa" w:w="25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藤球</w:t>
            </w:r>
          </w:p>
        </w:tc>
        <w:tc>
          <w:tcPr>
            <w:tcW w:type="dxa" w:w="34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sepak takraw</w:t>
            </w:r>
          </w:p>
        </w:tc>
        <w:tc>
          <w:tcPr>
            <w:tcW w:type="dxa" w:w="34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使用国际体育界通行名称。</w:t>
            </w:r>
          </w:p>
        </w:tc>
      </w:tr>
      <w:tr>
        <w:tc>
          <w:tcPr>
            <w:tcW w:type="dxa" w:w="25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数字火炬手</w:t>
            </w:r>
          </w:p>
        </w:tc>
        <w:tc>
          <w:tcPr>
            <w:tcW w:type="dxa" w:w="34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Digital Torchbearer</w:t>
            </w:r>
          </w:p>
        </w:tc>
        <w:tc>
          <w:tcPr>
            <w:tcW w:type="dxa" w:w="34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作为开幕式场景专名处理。</w:t>
            </w:r>
          </w:p>
        </w:tc>
      </w:tr>
      <w:tr>
        <w:tc>
          <w:tcPr>
            <w:tcW w:type="dxa" w:w="25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亚运元宇宙</w:t>
            </w:r>
          </w:p>
        </w:tc>
        <w:tc>
          <w:tcPr>
            <w:tcW w:type="dxa" w:w="34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Asian Games Metaverse</w:t>
            </w:r>
          </w:p>
        </w:tc>
        <w:tc>
          <w:tcPr>
            <w:tcW w:type="dxa" w:w="34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专名首字母大写。</w:t>
            </w:r>
          </w:p>
        </w:tc>
      </w:tr>
    </w:tbl>
    <w:p>
      <w:pPr>
        <w:pStyle w:val="Heading1"/>
      </w:pPr>
      <w:r>
        <w:t>02 双语编译与逐段批注</w:t>
      </w:r>
    </w:p>
    <w:p>
      <w:pPr>
        <w:spacing w:after="160"/>
      </w:pPr>
      <w:r>
        <w:t>每段保留双语对照，并用可见批注说明术语选择、事实边界、表达优化与风险修正。彩色文字用于提示关键专名、数字或结构性表达，不代表原稿修订痕迹。</w:t>
      </w:r>
    </w:p>
    <w:p>
      <w:pPr>
        <w:pStyle w:val="Heading3"/>
      </w:pPr>
      <w:r>
        <w:t>P01  赛事收束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中文整理稿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English Translation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A36B00"/>
              </w:rPr>
              <w:t>10 月 8 日晚</w:t>
            </w:r>
            <w:r>
              <w:rPr>
                <w:rFonts w:ascii="Calibri" w:hAnsi="Calibri" w:eastAsia="Microsoft YaHei"/>
                <w:b w:val="0"/>
                <w:color w:val="25211D"/>
              </w:rPr>
              <w:t>，</w:t>
            </w:r>
            <w:r>
              <w:rPr>
                <w:rFonts w:ascii="Calibri" w:hAnsi="Calibri" w:eastAsia="Microsoft YaHei"/>
                <w:b/>
                <w:color w:val="2E74B5"/>
              </w:rPr>
              <w:t>第十九届亚洲运动会</w:t>
            </w:r>
            <w:r>
              <w:rPr>
                <w:rFonts w:ascii="Calibri" w:hAnsi="Calibri" w:eastAsia="Microsoft YaHei"/>
                <w:b w:val="0"/>
                <w:color w:val="25211D"/>
              </w:rPr>
              <w:t>在浙江</w:t>
            </w:r>
            <w:r>
              <w:rPr>
                <w:rFonts w:ascii="Calibri" w:hAnsi="Calibri" w:eastAsia="Microsoft YaHei"/>
                <w:b/>
                <w:color w:val="2E74B5"/>
              </w:rPr>
              <w:t>杭州</w:t>
            </w:r>
            <w:r>
              <w:rPr>
                <w:rFonts w:ascii="Calibri" w:hAnsi="Calibri" w:eastAsia="Microsoft YaHei"/>
                <w:b w:val="0"/>
                <w:color w:val="25211D"/>
              </w:rPr>
              <w:t>圆满闭幕。作为亚洲最具影响力的综合性体育赛事之一，亚运会进一步带动了主办城市</w:t>
            </w:r>
            <w:r>
              <w:rPr>
                <w:rFonts w:ascii="Calibri" w:hAnsi="Calibri" w:eastAsia="Microsoft YaHei"/>
                <w:b/>
                <w:color w:val="2E74B5"/>
              </w:rPr>
              <w:t>杭州</w:t>
            </w:r>
            <w:r>
              <w:rPr>
                <w:rFonts w:ascii="Calibri" w:hAnsi="Calibri" w:eastAsia="Microsoft YaHei"/>
                <w:b w:val="0"/>
                <w:color w:val="25211D"/>
              </w:rPr>
              <w:t>的经济与城市发展。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 xml:space="preserve">On the evening of </w:t>
            </w:r>
            <w:r>
              <w:rPr>
                <w:rFonts w:ascii="Calibri" w:hAnsi="Calibri" w:eastAsia="Microsoft YaHei"/>
                <w:b/>
                <w:color w:val="A36B00"/>
              </w:rPr>
              <w:t>October 8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, </w:t>
            </w:r>
            <w:r>
              <w:rPr>
                <w:rFonts w:ascii="Calibri" w:hAnsi="Calibri" w:eastAsia="Microsoft YaHei"/>
                <w:b/>
                <w:color w:val="2E74B5"/>
              </w:rPr>
              <w:t>the 19th Asian Games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concluded successfully in </w:t>
            </w:r>
            <w:r>
              <w:rPr>
                <w:rFonts w:ascii="Calibri" w:hAnsi="Calibri" w:eastAsia="Microsoft YaHei"/>
                <w:b/>
                <w:color w:val="2E74B5"/>
              </w:rPr>
              <w:t>Hangzhou</w:t>
            </w:r>
            <w:r>
              <w:rPr>
                <w:rFonts w:ascii="Calibri" w:hAnsi="Calibri" w:eastAsia="Microsoft YaHei"/>
                <w:b w:val="0"/>
                <w:color w:val="25211D"/>
              </w:rPr>
              <w:t>, Zhejiang Province. As one of Asia's most influential multi-sport events, the Games further contributed to the host city's economic and urban development.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1500"/>
        <w:gridCol w:w="7860"/>
      </w:tblGrid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8"/>
              </w:rPr>
              <w:t>表达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将“极大地推动”调整为“进一步带动”，降低因果归因强度，更符合审慎传播语气。</w:t>
            </w:r>
          </w:p>
        </w:tc>
      </w:tr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E74B5"/>
                <w:sz w:val="18"/>
              </w:rPr>
              <w:t>术语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multi-sport event 比 sports event 更准确描述亚运会。</w:t>
            </w:r>
          </w:p>
        </w:tc>
      </w:tr>
    </w:tbl>
    <w:p>
      <w:pPr>
        <w:pStyle w:val="Heading3"/>
      </w:pPr>
      <w:r>
        <w:t>P02  城市影响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中文整理稿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English Translation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>体育赛事产业可以成为城市经济增长的</w:t>
            </w:r>
            <w:r>
              <w:rPr>
                <w:rFonts w:ascii="Calibri" w:hAnsi="Calibri" w:eastAsia="Microsoft YaHei"/>
                <w:b/>
                <w:color w:val="3D6B55"/>
              </w:rPr>
              <w:t>绿色引擎</w:t>
            </w:r>
            <w:r>
              <w:rPr>
                <w:rFonts w:ascii="Calibri" w:hAnsi="Calibri" w:eastAsia="Microsoft YaHei"/>
                <w:b w:val="0"/>
                <w:color w:val="25211D"/>
              </w:rPr>
              <w:t>。大型赛事对城市经济的影响是多维的，包括改善</w:t>
            </w:r>
            <w:r>
              <w:rPr>
                <w:rFonts w:ascii="Calibri" w:hAnsi="Calibri" w:eastAsia="Microsoft YaHei"/>
                <w:b/>
                <w:color w:val="2E74B5"/>
              </w:rPr>
              <w:t>基础设施</w:t>
            </w:r>
            <w:r>
              <w:rPr>
                <w:rFonts w:ascii="Calibri" w:hAnsi="Calibri" w:eastAsia="Microsoft YaHei"/>
                <w:b w:val="0"/>
                <w:color w:val="25211D"/>
              </w:rPr>
              <w:t>、带动旅游、吸引投资并拓展</w:t>
            </w:r>
            <w:r>
              <w:rPr>
                <w:rFonts w:ascii="Calibri" w:hAnsi="Calibri" w:eastAsia="Microsoft YaHei"/>
                <w:b/>
                <w:color w:val="2E74B5"/>
              </w:rPr>
              <w:t>消费市场</w:t>
            </w:r>
            <w:r>
              <w:rPr>
                <w:rFonts w:ascii="Calibri" w:hAnsi="Calibri" w:eastAsia="Microsoft YaHei"/>
                <w:b w:val="0"/>
                <w:color w:val="25211D"/>
              </w:rPr>
              <w:t>。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 xml:space="preserve">The sports-event economy can serve as a </w:t>
            </w:r>
            <w:r>
              <w:rPr>
                <w:rFonts w:ascii="Calibri" w:hAnsi="Calibri" w:eastAsia="Microsoft YaHei"/>
                <w:b/>
                <w:color w:val="3D6B55"/>
              </w:rPr>
              <w:t>green engine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for urban growth. Major events influence cities in multiple ways, including improving </w:t>
            </w:r>
            <w:r>
              <w:rPr>
                <w:rFonts w:ascii="Calibri" w:hAnsi="Calibri" w:eastAsia="Microsoft YaHei"/>
                <w:b/>
                <w:color w:val="2E74B5"/>
              </w:rPr>
              <w:t>infrastructure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, stimulating tourism, attracting investment and expanding </w:t>
            </w:r>
            <w:r>
              <w:rPr>
                <w:rFonts w:ascii="Calibri" w:hAnsi="Calibri" w:eastAsia="Microsoft YaHei"/>
                <w:b/>
                <w:color w:val="2E74B5"/>
              </w:rPr>
              <w:t>consumer markets</w:t>
            </w:r>
            <w:r>
              <w:rPr>
                <w:rFonts w:ascii="Calibri" w:hAnsi="Calibri" w:eastAsia="Microsoft YaHei"/>
                <w:b w:val="0"/>
                <w:color w:val="25211D"/>
              </w:rPr>
              <w:t>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1500"/>
        <w:gridCol w:w="7860"/>
      </w:tblGrid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8"/>
              </w:rPr>
              <w:t>表达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用 can serve as 而非绝对断言，保留观点同时避免过度概括。</w:t>
            </w:r>
          </w:p>
        </w:tc>
      </w:tr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E74B5"/>
                <w:sz w:val="18"/>
              </w:rPr>
              <w:t>术语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sports-event economy 用于承接产业与城市经济的关系。</w:t>
            </w:r>
          </w:p>
        </w:tc>
      </w:tr>
    </w:tbl>
    <w:p>
      <w:pPr>
        <w:pStyle w:val="Heading3"/>
      </w:pPr>
      <w:r>
        <w:t>P03  赛事特色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中文整理稿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English Translation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>杭州亚运会通过特色项目与广泛的城市覆盖提升赛事体验。赛事设置</w:t>
            </w:r>
            <w:r>
              <w:rPr>
                <w:rFonts w:ascii="Calibri" w:hAnsi="Calibri" w:eastAsia="Microsoft YaHei"/>
                <w:b/>
                <w:color w:val="2E74B5"/>
              </w:rPr>
              <w:t>电子竞技</w:t>
            </w:r>
            <w:r>
              <w:rPr>
                <w:rFonts w:ascii="Calibri" w:hAnsi="Calibri" w:eastAsia="Microsoft YaHei"/>
                <w:b w:val="0"/>
                <w:color w:val="25211D"/>
              </w:rPr>
              <w:t>、</w:t>
            </w:r>
            <w:r>
              <w:rPr>
                <w:rFonts w:ascii="Calibri" w:hAnsi="Calibri" w:eastAsia="Microsoft YaHei"/>
                <w:b/>
                <w:color w:val="2E74B5"/>
              </w:rPr>
              <w:t>藤球</w:t>
            </w:r>
            <w:r>
              <w:rPr>
                <w:rFonts w:ascii="Calibri" w:hAnsi="Calibri" w:eastAsia="Microsoft YaHei"/>
                <w:b w:val="0"/>
                <w:color w:val="25211D"/>
              </w:rPr>
              <w:t>、</w:t>
            </w:r>
            <w:r>
              <w:rPr>
                <w:rFonts w:ascii="Calibri" w:hAnsi="Calibri" w:eastAsia="Microsoft YaHei"/>
                <w:b/>
                <w:color w:val="2E74B5"/>
              </w:rPr>
              <w:t>龙舟</w:t>
            </w:r>
            <w:r>
              <w:rPr>
                <w:rFonts w:ascii="Calibri" w:hAnsi="Calibri" w:eastAsia="Microsoft YaHei"/>
                <w:b w:val="0"/>
                <w:color w:val="25211D"/>
              </w:rPr>
              <w:t>等具有亚洲特色的项目，并在宁波、绍兴、湖州、金华和温州</w:t>
            </w:r>
            <w:r>
              <w:rPr>
                <w:rFonts w:ascii="Calibri" w:hAnsi="Calibri" w:eastAsia="Microsoft YaHei"/>
                <w:b/>
                <w:color w:val="A36B00"/>
              </w:rPr>
              <w:t>五个协办城市</w:t>
            </w:r>
            <w:r>
              <w:rPr>
                <w:rFonts w:ascii="Calibri" w:hAnsi="Calibri" w:eastAsia="Microsoft YaHei"/>
                <w:b w:val="0"/>
                <w:color w:val="25211D"/>
              </w:rPr>
              <w:t>举行相关比赛。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 xml:space="preserve">The Hangzhou Asian Games enriched the event experience through distinctive disciplines and broad city participation. The program included </w:t>
            </w:r>
            <w:r>
              <w:rPr>
                <w:rFonts w:ascii="Calibri" w:hAnsi="Calibri" w:eastAsia="Microsoft YaHei"/>
                <w:b/>
                <w:color w:val="2E74B5"/>
              </w:rPr>
              <w:t>esports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, </w:t>
            </w:r>
            <w:r>
              <w:rPr>
                <w:rFonts w:ascii="Calibri" w:hAnsi="Calibri" w:eastAsia="Microsoft YaHei"/>
                <w:b/>
                <w:color w:val="2E74B5"/>
              </w:rPr>
              <w:t>sepak takraw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and </w:t>
            </w:r>
            <w:r>
              <w:rPr>
                <w:rFonts w:ascii="Calibri" w:hAnsi="Calibri" w:eastAsia="Microsoft YaHei"/>
                <w:b/>
                <w:color w:val="2E74B5"/>
              </w:rPr>
              <w:t>dragon boat racing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, while events were also staged in </w:t>
            </w:r>
            <w:r>
              <w:rPr>
                <w:rFonts w:ascii="Calibri" w:hAnsi="Calibri" w:eastAsia="Microsoft YaHei"/>
                <w:b/>
                <w:color w:val="A36B00"/>
              </w:rPr>
              <w:t>five co-host cities</w:t>
            </w:r>
            <w:r>
              <w:rPr>
                <w:rFonts w:ascii="Calibri" w:hAnsi="Calibri" w:eastAsia="Microsoft YaHei"/>
                <w:b w:val="0"/>
                <w:color w:val="25211D"/>
              </w:rPr>
              <w:t>: Ningbo, Shaoxing, Huzhou, Jinhua and Wenzhou.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1500"/>
        <w:gridCol w:w="7860"/>
      </w:tblGrid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E74B5"/>
                <w:sz w:val="18"/>
              </w:rPr>
              <w:t>术语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电子竞技采用 esports，藤球采用 sepak takraw。</w:t>
            </w:r>
          </w:p>
        </w:tc>
      </w:tr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8"/>
              </w:rPr>
              <w:t>表达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将“城市覆盖”具体化为 broad city participation，避免 coverage 的行政意味。</w:t>
            </w:r>
          </w:p>
        </w:tc>
      </w:tr>
    </w:tbl>
    <w:p>
      <w:pPr>
        <w:pStyle w:val="Heading3"/>
      </w:pPr>
      <w:r>
        <w:t>P04  量化结果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中文整理稿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English Translation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A36B00"/>
              </w:rPr>
              <w:t>10 月 7 日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，杭州亚运会主新闻发言人毛根洪在发布会上表示，赛事门票累计售出 </w:t>
            </w:r>
            <w:r>
              <w:rPr>
                <w:rFonts w:ascii="Calibri" w:hAnsi="Calibri" w:eastAsia="Microsoft YaHei"/>
                <w:b/>
                <w:color w:val="A36B00"/>
              </w:rPr>
              <w:t>305 万张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，销售总额突破 </w:t>
            </w:r>
            <w:r>
              <w:rPr>
                <w:rFonts w:ascii="Calibri" w:hAnsi="Calibri" w:eastAsia="Microsoft YaHei"/>
                <w:b/>
                <w:color w:val="A36B00"/>
              </w:rPr>
              <w:t>6.1 亿元人民币</w:t>
            </w:r>
            <w:r>
              <w:rPr>
                <w:rFonts w:ascii="Calibri" w:hAnsi="Calibri" w:eastAsia="Microsoft YaHei"/>
                <w:b w:val="0"/>
                <w:color w:val="25211D"/>
              </w:rPr>
              <w:t>。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 xml:space="preserve">At a press conference on </w:t>
            </w:r>
            <w:r>
              <w:rPr>
                <w:rFonts w:ascii="Calibri" w:hAnsi="Calibri" w:eastAsia="Microsoft YaHei"/>
                <w:b/>
                <w:color w:val="A36B00"/>
              </w:rPr>
              <w:t>October 7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, Mao Genhong, </w:t>
            </w:r>
            <w:r>
              <w:rPr>
                <w:rFonts w:ascii="Calibri" w:hAnsi="Calibri" w:eastAsia="Microsoft YaHei"/>
                <w:b/>
                <w:color w:val="2E74B5"/>
              </w:rPr>
              <w:t>chief spokesperson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for the Hangzhou Asian Games, said that </w:t>
            </w:r>
            <w:r>
              <w:rPr>
                <w:rFonts w:ascii="Calibri" w:hAnsi="Calibri" w:eastAsia="Microsoft YaHei"/>
                <w:b/>
                <w:color w:val="A36B00"/>
              </w:rPr>
              <w:t>3.05 million tickets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had been sold, generating more than </w:t>
            </w:r>
            <w:r>
              <w:rPr>
                <w:rFonts w:ascii="Calibri" w:hAnsi="Calibri" w:eastAsia="Microsoft YaHei"/>
                <w:b/>
                <w:color w:val="A36B00"/>
              </w:rPr>
              <w:t>RMB 610 million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in ticket sales.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1500"/>
        <w:gridCol w:w="7860"/>
      </w:tblGrid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3D6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A36B00"/>
                <w:sz w:val="18"/>
              </w:rPr>
              <w:t>事实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3D6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数字采用 305 万 / 6.1 亿元与 3.05 million / RMB 610 million 的对应关系。</w:t>
            </w:r>
          </w:p>
        </w:tc>
      </w:tr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E74B5"/>
                <w:sz w:val="18"/>
              </w:rPr>
              <w:t>术语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主新闻发言人统一为 chief spokesperson，避免 main press spokesman 的生硬表达。</w:t>
            </w:r>
          </w:p>
        </w:tc>
      </w:tr>
    </w:tbl>
    <w:p>
      <w:pPr>
        <w:pStyle w:val="Heading3"/>
      </w:pPr>
      <w:r>
        <w:t>P05  数字赋能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中文整理稿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English Translation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>以“智能”为核心的数字赋能成为本届亚运会的一大亮点。杭州在开幕式中呈现“</w:t>
            </w:r>
            <w:r>
              <w:rPr>
                <w:rFonts w:ascii="Calibri" w:hAnsi="Calibri" w:eastAsia="Microsoft YaHei"/>
                <w:b/>
                <w:color w:val="2E74B5"/>
              </w:rPr>
              <w:t>数字火炬手</w:t>
            </w:r>
            <w:r>
              <w:rPr>
                <w:rFonts w:ascii="Calibri" w:hAnsi="Calibri" w:eastAsia="Microsoft YaHei"/>
                <w:b w:val="0"/>
                <w:color w:val="25211D"/>
              </w:rPr>
              <w:t>”“</w:t>
            </w:r>
            <w:r>
              <w:rPr>
                <w:rFonts w:ascii="Calibri" w:hAnsi="Calibri" w:eastAsia="Microsoft YaHei"/>
                <w:b/>
                <w:color w:val="2E74B5"/>
              </w:rPr>
              <w:t>数字烟花</w:t>
            </w:r>
            <w:r>
              <w:rPr>
                <w:rFonts w:ascii="Calibri" w:hAnsi="Calibri" w:eastAsia="Microsoft YaHei"/>
                <w:b w:val="0"/>
                <w:color w:val="25211D"/>
              </w:rPr>
              <w:t>”“</w:t>
            </w:r>
            <w:r>
              <w:rPr>
                <w:rFonts w:ascii="Calibri" w:hAnsi="Calibri" w:eastAsia="Microsoft YaHei"/>
                <w:b/>
                <w:color w:val="2E74B5"/>
              </w:rPr>
              <w:t>亚运元宇宙</w:t>
            </w:r>
            <w:r>
              <w:rPr>
                <w:rFonts w:ascii="Calibri" w:hAnsi="Calibri" w:eastAsia="Microsoft YaHei"/>
                <w:b w:val="0"/>
                <w:color w:val="25211D"/>
              </w:rPr>
              <w:t>”等场景，并使用</w:t>
            </w:r>
            <w:r>
              <w:rPr>
                <w:rFonts w:ascii="Calibri" w:hAnsi="Calibri" w:eastAsia="Microsoft YaHei"/>
                <w:b/>
                <w:color w:val="2E74B5"/>
              </w:rPr>
              <w:t>人工智能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、大数据、VR、物联网和 </w:t>
            </w:r>
            <w:r>
              <w:rPr>
                <w:rFonts w:ascii="Calibri" w:hAnsi="Calibri" w:eastAsia="Microsoft YaHei"/>
                <w:b/>
                <w:color w:val="2E74B5"/>
              </w:rPr>
              <w:t>5G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等技术提升赛事管理、服务与观赛体验。城市还建设了亚运数字专用车道控制系统和智慧城市设施。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 xml:space="preserve">Digital enablement centered on intelligent technologies was a defining feature of the Games. The opening ceremony presented the </w:t>
            </w:r>
            <w:r>
              <w:rPr>
                <w:rFonts w:ascii="Calibri" w:hAnsi="Calibri" w:eastAsia="Microsoft YaHei"/>
                <w:b/>
                <w:color w:val="2E74B5"/>
              </w:rPr>
              <w:t>Digital Torchbearer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, </w:t>
            </w:r>
            <w:r>
              <w:rPr>
                <w:rFonts w:ascii="Calibri" w:hAnsi="Calibri" w:eastAsia="Microsoft YaHei"/>
                <w:b/>
                <w:color w:val="2E74B5"/>
              </w:rPr>
              <w:t>Digital Fireworks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and the </w:t>
            </w:r>
            <w:r>
              <w:rPr>
                <w:rFonts w:ascii="Calibri" w:hAnsi="Calibri" w:eastAsia="Microsoft YaHei"/>
                <w:b/>
                <w:color w:val="2E74B5"/>
              </w:rPr>
              <w:t>Asian Games Metaverse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, while </w:t>
            </w:r>
            <w:r>
              <w:rPr>
                <w:rFonts w:ascii="Calibri" w:hAnsi="Calibri" w:eastAsia="Microsoft YaHei"/>
                <w:b/>
                <w:color w:val="2E74B5"/>
              </w:rPr>
              <w:t>AI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, big data, VR, the Internet of Things and </w:t>
            </w:r>
            <w:r>
              <w:rPr>
                <w:rFonts w:ascii="Calibri" w:hAnsi="Calibri" w:eastAsia="Microsoft YaHei"/>
                <w:b/>
                <w:color w:val="2E74B5"/>
              </w:rPr>
              <w:t>5G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were used to improve event management, services and the spectator experience. Hangzhou also developed a dedicated digital-lane control system and supporting smart-city infrastructure.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1500"/>
        <w:gridCol w:w="7860"/>
      </w:tblGrid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E74B5"/>
                <w:sz w:val="18"/>
              </w:rPr>
              <w:t>术语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三个开幕式数字场景作为专名处理并统一首字母大写。</w:t>
            </w:r>
          </w:p>
        </w:tc>
      </w:tr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8"/>
              </w:rPr>
              <w:t>表达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拆分原稿中断开的句子，按“场景—技术—基础设施”建立清晰层级。</w:t>
            </w:r>
          </w:p>
        </w:tc>
      </w:tr>
    </w:tbl>
    <w:p>
      <w:pPr>
        <w:pStyle w:val="Heading1"/>
      </w:pPr>
      <w:r>
        <w:t>03 交付前检查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2880"/>
        <w:gridCol w:w="1440"/>
        <w:gridCol w:w="5040"/>
      </w:tblGrid>
      <w:t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检查项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状态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本稿处理</w:t>
            </w:r>
          </w:p>
        </w:tc>
      </w:tr>
      <w:tr>
        <w:tc>
          <w:tcPr>
            <w:tcW w:type="dxa" w:w="288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专名与缩写统一</w:t>
            </w:r>
          </w:p>
        </w:tc>
        <w:tc>
          <w:tcPr>
            <w:tcW w:type="dxa" w:w="144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9"/>
              </w:rPr>
              <w:t>完成</w:t>
            </w:r>
          </w:p>
        </w:tc>
        <w:tc>
          <w:tcPr>
            <w:tcW w:type="dxa" w:w="504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首次出现给出全称，后续使用统一简称。</w:t>
            </w:r>
          </w:p>
        </w:tc>
      </w:tr>
      <w:tr>
        <w:tc>
          <w:tcPr>
            <w:tcW w:type="dxa" w:w="28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数字与单位格式</w:t>
            </w:r>
          </w:p>
        </w:tc>
        <w:tc>
          <w:tcPr>
            <w:tcW w:type="dxa" w:w="144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9"/>
              </w:rPr>
              <w:t>完成</w:t>
            </w:r>
          </w:p>
        </w:tc>
        <w:tc>
          <w:tcPr>
            <w:tcW w:type="dxa" w:w="504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日期、货币、里程、速度和倍数表达统一。</w:t>
            </w:r>
          </w:p>
        </w:tc>
      </w:tr>
      <w:tr>
        <w:tc>
          <w:tcPr>
            <w:tcW w:type="dxa" w:w="288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中英文标点与空格</w:t>
            </w:r>
          </w:p>
        </w:tc>
        <w:tc>
          <w:tcPr>
            <w:tcW w:type="dxa" w:w="144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9"/>
              </w:rPr>
              <w:t>完成</w:t>
            </w:r>
          </w:p>
        </w:tc>
        <w:tc>
          <w:tcPr>
            <w:tcW w:type="dxa" w:w="504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修复全角/半角混用、引号和断段问题。</w:t>
            </w:r>
          </w:p>
        </w:tc>
      </w:tr>
      <w:tr>
        <w:tc>
          <w:tcPr>
            <w:tcW w:type="dxa" w:w="28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受众与语气</w:t>
            </w:r>
          </w:p>
        </w:tc>
        <w:tc>
          <w:tcPr>
            <w:tcW w:type="dxa" w:w="144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9"/>
              </w:rPr>
              <w:t>完成</w:t>
            </w:r>
          </w:p>
        </w:tc>
        <w:tc>
          <w:tcPr>
            <w:tcW w:type="dxa" w:w="504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减少生硬直译，保留国际传播稿的清晰与克制。</w:t>
            </w:r>
          </w:p>
        </w:tc>
      </w:tr>
      <w:tr>
        <w:tc>
          <w:tcPr>
            <w:tcW w:type="dxa" w:w="288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事实核验提示</w:t>
            </w:r>
          </w:p>
        </w:tc>
        <w:tc>
          <w:tcPr>
            <w:tcW w:type="dxa" w:w="144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9"/>
              </w:rPr>
              <w:t>完成</w:t>
            </w:r>
          </w:p>
        </w:tc>
        <w:tc>
          <w:tcPr>
            <w:tcW w:type="dxa" w:w="504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对时间敏感或来源依赖数据保留显式复核提醒。</w:t>
            </w:r>
          </w:p>
        </w:tc>
      </w:tr>
    </w:tbl>
    <w:p>
      <w:pPr>
        <w:pStyle w:val="Heading1"/>
      </w:pPr>
      <w:r>
        <w:t>04 编辑复盘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3D6B55"/>
                <w:sz w:val="20"/>
              </w:rPr>
              <w:t xml:space="preserve">归因强度  </w:t>
            </w:r>
            <w:r>
              <w:rPr>
                <w:rFonts w:ascii="Calibri" w:hAnsi="Calibri" w:eastAsia="Microsoft YaHei"/>
                <w:color w:val="25211D"/>
                <w:sz w:val="21"/>
              </w:rPr>
              <w:t>城市影响采用 contributed to、can serve as 等克制表达，避免将宏观结果完全归因于单一赛事。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3D6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A36B00"/>
                <w:sz w:val="20"/>
              </w:rPr>
              <w:t xml:space="preserve">数字转换  </w:t>
            </w:r>
            <w:r>
              <w:rPr>
                <w:rFonts w:ascii="Calibri" w:hAnsi="Calibri" w:eastAsia="Microsoft YaHei"/>
                <w:color w:val="25211D"/>
                <w:sz w:val="21"/>
              </w:rPr>
              <w:t>中文“万 / 亿”转为英文 million，并保留人民币单位，减少跨语言理解成本。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2E74B5"/>
                <w:sz w:val="20"/>
              </w:rPr>
              <w:t xml:space="preserve">专名管理  </w:t>
            </w:r>
            <w:r>
              <w:rPr>
                <w:rFonts w:ascii="Calibri" w:hAnsi="Calibri" w:eastAsia="Microsoft YaHei"/>
                <w:color w:val="25211D"/>
                <w:sz w:val="21"/>
              </w:rPr>
              <w:t>将赛事名称、协办城市、特色项目和数字场景放进统一术语表，便于团队复用。</w:t>
            </w:r>
          </w:p>
        </w:tc>
      </w:tr>
    </w:tbl>
    <w:p>
      <w:pPr>
        <w:spacing w:before="160" w:after="0"/>
      </w:pPr>
      <w:r>
        <w:rPr>
          <w:rFonts w:ascii="Calibri" w:hAnsi="Calibri" w:eastAsia="Microsoft YaHei"/>
          <w:i/>
          <w:color w:val="6F6A62"/>
          <w:sz w:val="18"/>
        </w:rPr>
        <w:t>说明：本文件用于展示编译、审校与交付方法。涉及日期、数字与机构口径的信息，应在正式发布前回到委托方最终源稿或权威出处复核。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color w:val="6F6A62"/>
        <w:sz w:val="17"/>
      </w:rPr>
      <w:t xml:space="preserve">PORTFOLIO REVIEW COPY  ·  </w:t>
    </w:r>
    <w:r>
      <w:rPr>
        <w:rFonts w:ascii="Calibri" w:hAnsi="Calibri" w:eastAsia="Microsoft YaHei"/>
        <w:color w:val="6F6A62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Microsoft YaHei"/>
        <w:b/>
        <w:color w:val="6F6A62"/>
        <w:sz w:val="16"/>
      </w:rPr>
      <w:t>CHINA INTERNATIONAL COMMUNICATIONS GROUP  /  HANGZHOU ASIAN GAMES: EVENT ECONOMY &amp; DIGITAL ENABLEMENT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color w:val="25211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